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闻喜县</w:t>
      </w:r>
      <w:r>
        <w:rPr>
          <w:rFonts w:hint="eastAsia" w:ascii="方正小标宋简体" w:hAnsi="Arial" w:eastAsia="方正小标宋简体" w:cs="Arial"/>
          <w:sz w:val="44"/>
          <w:szCs w:val="44"/>
          <w:lang w:eastAsia="zh-CN"/>
        </w:rPr>
        <w:t>郭家庄</w:t>
      </w:r>
      <w:r>
        <w:rPr>
          <w:rFonts w:hint="eastAsia" w:ascii="方正小标宋简体" w:eastAsia="方正小标宋简体"/>
          <w:sz w:val="44"/>
          <w:szCs w:val="44"/>
        </w:rPr>
        <w:t>镇政务公开事项标准目录</w:t>
      </w:r>
    </w:p>
    <w:p>
      <w:pPr>
        <w:spacing w:line="400" w:lineRule="exact"/>
        <w:jc w:val="center"/>
        <w:rPr>
          <w:rFonts w:hint="eastAsia" w:ascii="方正小标宋简体" w:eastAsia="方正小标宋简体"/>
          <w:sz w:val="36"/>
          <w:szCs w:val="36"/>
        </w:rPr>
      </w:pPr>
    </w:p>
    <w:tbl>
      <w:tblPr>
        <w:tblStyle w:val="3"/>
        <w:tblW w:w="14861" w:type="dxa"/>
        <w:tblInd w:w="-4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48"/>
        <w:gridCol w:w="892"/>
        <w:gridCol w:w="1028"/>
        <w:gridCol w:w="1723"/>
        <w:gridCol w:w="1723"/>
        <w:gridCol w:w="768"/>
        <w:gridCol w:w="449"/>
        <w:gridCol w:w="2245"/>
        <w:gridCol w:w="870"/>
        <w:gridCol w:w="870"/>
        <w:gridCol w:w="730"/>
        <w:gridCol w:w="698"/>
        <w:gridCol w:w="338"/>
        <w:gridCol w:w="351"/>
        <w:gridCol w:w="352"/>
        <w:gridCol w:w="351"/>
        <w:gridCol w:w="358"/>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4" w:hRule="atLeast"/>
        </w:trPr>
        <w:tc>
          <w:tcPr>
            <w:tcW w:w="548" w:type="dxa"/>
            <w:vMerge w:val="restart"/>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300" w:lineRule="exact"/>
              <w:jc w:val="center"/>
              <w:rPr>
                <w:sz w:val="21"/>
                <w:szCs w:val="21"/>
              </w:rPr>
            </w:pPr>
            <w:r>
              <w:rPr>
                <w:sz w:val="21"/>
                <w:szCs w:val="21"/>
              </w:rPr>
              <w:t>序号</w:t>
            </w:r>
          </w:p>
        </w:tc>
        <w:tc>
          <w:tcPr>
            <w:tcW w:w="1920" w:type="dxa"/>
            <w:gridSpan w:val="2"/>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sz w:val="21"/>
                <w:szCs w:val="21"/>
              </w:rPr>
            </w:pPr>
            <w:r>
              <w:rPr>
                <w:sz w:val="21"/>
                <w:szCs w:val="21"/>
              </w:rPr>
              <w:t>公开事项</w:t>
            </w:r>
          </w:p>
        </w:tc>
        <w:tc>
          <w:tcPr>
            <w:tcW w:w="1723" w:type="dxa"/>
            <w:vMerge w:val="restart"/>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rFonts w:ascii="方正黑体_GBK" w:hAnsi="方正黑体_GBK"/>
                <w:sz w:val="21"/>
                <w:szCs w:val="21"/>
              </w:rPr>
            </w:pPr>
            <w:r>
              <w:rPr>
                <w:rFonts w:ascii="方正黑体_GBK" w:hAnsi="方正黑体_GBK"/>
                <w:sz w:val="21"/>
                <w:szCs w:val="21"/>
              </w:rPr>
              <w:t>公开内容</w:t>
            </w:r>
          </w:p>
          <w:p>
            <w:pPr>
              <w:pStyle w:val="2"/>
              <w:spacing w:beforeAutospacing="0" w:afterAutospacing="0" w:line="240" w:lineRule="exact"/>
              <w:jc w:val="center"/>
              <w:rPr>
                <w:sz w:val="21"/>
                <w:szCs w:val="21"/>
              </w:rPr>
            </w:pPr>
            <w:r>
              <w:rPr>
                <w:rFonts w:ascii="方正黑体_GBK" w:hAnsi="方正黑体_GBK"/>
                <w:sz w:val="21"/>
                <w:szCs w:val="21"/>
              </w:rPr>
              <w:t>（要素）</w:t>
            </w:r>
          </w:p>
        </w:tc>
        <w:tc>
          <w:tcPr>
            <w:tcW w:w="1723" w:type="dxa"/>
            <w:vMerge w:val="restart"/>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sz w:val="21"/>
                <w:szCs w:val="21"/>
              </w:rPr>
            </w:pPr>
            <w:r>
              <w:rPr>
                <w:sz w:val="21"/>
                <w:szCs w:val="21"/>
              </w:rPr>
              <w:t>公</w:t>
            </w:r>
            <w:r>
              <w:rPr>
                <w:rFonts w:hint="eastAsia"/>
                <w:sz w:val="21"/>
                <w:szCs w:val="21"/>
              </w:rPr>
              <w:t>开依据</w:t>
            </w:r>
          </w:p>
        </w:tc>
        <w:tc>
          <w:tcPr>
            <w:tcW w:w="768" w:type="dxa"/>
            <w:vMerge w:val="restart"/>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rFonts w:ascii="Times New Roman" w:hAnsi="Calibri" w:eastAsia="宋体" w:cs="Times New Roman"/>
                <w:bCs/>
                <w:kern w:val="0"/>
                <w:sz w:val="18"/>
                <w:szCs w:val="18"/>
                <w:lang w:val="en-US" w:eastAsia="zh-CN" w:bidi="ar-SA"/>
              </w:rPr>
            </w:pPr>
            <w:r>
              <w:rPr>
                <w:rFonts w:ascii="Times New Roman" w:hAnsi="Calibri" w:eastAsia="宋体" w:cs="Times New Roman"/>
                <w:bCs/>
                <w:kern w:val="0"/>
                <w:sz w:val="18"/>
                <w:szCs w:val="18"/>
                <w:lang w:val="en-US" w:eastAsia="zh-CN" w:bidi="ar-SA"/>
              </w:rPr>
              <w:t>公开时限</w:t>
            </w:r>
          </w:p>
        </w:tc>
        <w:tc>
          <w:tcPr>
            <w:tcW w:w="449" w:type="dxa"/>
            <w:vMerge w:val="restart"/>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sz w:val="21"/>
                <w:szCs w:val="21"/>
              </w:rPr>
            </w:pPr>
            <w:r>
              <w:rPr>
                <w:rFonts w:ascii="方正黑体_GBK" w:hAnsi="方正黑体_GBK"/>
                <w:sz w:val="21"/>
                <w:szCs w:val="21"/>
              </w:rPr>
              <w:t>公开</w:t>
            </w:r>
            <w:r>
              <w:rPr>
                <w:sz w:val="21"/>
                <w:szCs w:val="21"/>
              </w:rPr>
              <w:t>主体</w:t>
            </w:r>
          </w:p>
        </w:tc>
        <w:tc>
          <w:tcPr>
            <w:tcW w:w="2245" w:type="dxa"/>
            <w:vMerge w:val="restart"/>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40" w:lineRule="exact"/>
              <w:jc w:val="center"/>
              <w:rPr>
                <w:sz w:val="21"/>
                <w:szCs w:val="21"/>
              </w:rPr>
            </w:pPr>
            <w:r>
              <w:rPr>
                <w:sz w:val="21"/>
                <w:szCs w:val="21"/>
              </w:rPr>
              <w:t>公开渠道和载体</w:t>
            </w:r>
          </w:p>
        </w:tc>
        <w:tc>
          <w:tcPr>
            <w:tcW w:w="1740" w:type="dxa"/>
            <w:gridSpan w:val="2"/>
            <w:tcBorders>
              <w:top w:val="single" w:color="auto" w:sz="6" w:space="0"/>
              <w:left w:val="nil"/>
              <w:bottom w:val="nil"/>
              <w:right w:val="single" w:color="auto" w:sz="6" w:space="0"/>
            </w:tcBorders>
            <w:tcMar>
              <w:top w:w="60" w:type="dxa"/>
              <w:left w:w="60" w:type="dxa"/>
              <w:bottom w:w="60" w:type="dxa"/>
              <w:right w:w="60" w:type="dxa"/>
            </w:tcMar>
            <w:vAlign w:val="center"/>
          </w:tcPr>
          <w:p>
            <w:pPr>
              <w:pStyle w:val="2"/>
              <w:spacing w:beforeAutospacing="0" w:afterAutospacing="0" w:line="240" w:lineRule="exact"/>
              <w:jc w:val="center"/>
              <w:rPr>
                <w:sz w:val="21"/>
                <w:szCs w:val="21"/>
              </w:rPr>
            </w:pPr>
            <w:r>
              <w:rPr>
                <w:rFonts w:ascii="方正黑体_GBK" w:hAnsi="方正黑体_GBK"/>
                <w:sz w:val="21"/>
                <w:szCs w:val="21"/>
              </w:rPr>
              <w:t>公开对象</w:t>
            </w:r>
          </w:p>
        </w:tc>
        <w:tc>
          <w:tcPr>
            <w:tcW w:w="1428" w:type="dxa"/>
            <w:gridSpan w:val="2"/>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40" w:lineRule="exact"/>
              <w:jc w:val="center"/>
              <w:rPr>
                <w:sz w:val="21"/>
                <w:szCs w:val="21"/>
              </w:rPr>
            </w:pPr>
            <w:r>
              <w:rPr>
                <w:rFonts w:ascii="方正黑体_GBK" w:hAnsi="方正黑体_GBK"/>
                <w:sz w:val="21"/>
                <w:szCs w:val="21"/>
              </w:rPr>
              <w:t>公开方式</w:t>
            </w:r>
          </w:p>
        </w:tc>
        <w:tc>
          <w:tcPr>
            <w:tcW w:w="1750" w:type="dxa"/>
            <w:gridSpan w:val="5"/>
            <w:tcBorders>
              <w:top w:val="single" w:color="auto" w:sz="6" w:space="0"/>
              <w:left w:val="nil"/>
              <w:bottom w:val="single" w:color="auto" w:sz="6" w:space="0"/>
              <w:right w:val="single" w:color="auto" w:sz="6" w:space="0"/>
            </w:tcBorders>
            <w:vAlign w:val="top"/>
          </w:tcPr>
          <w:p>
            <w:pPr>
              <w:pStyle w:val="2"/>
              <w:spacing w:beforeAutospacing="0" w:afterAutospacing="0" w:line="240" w:lineRule="exact"/>
              <w:jc w:val="center"/>
              <w:rPr>
                <w:sz w:val="21"/>
                <w:szCs w:val="21"/>
              </w:rPr>
            </w:pPr>
            <w:r>
              <w:rPr>
                <w:rFonts w:hint="eastAsia"/>
                <w:sz w:val="21"/>
                <w:szCs w:val="21"/>
              </w:rPr>
              <w:t>所属“五公开”</w:t>
            </w:r>
          </w:p>
          <w:p>
            <w:pPr>
              <w:pStyle w:val="2"/>
              <w:spacing w:beforeAutospacing="0" w:afterAutospacing="0" w:line="240" w:lineRule="exact"/>
              <w:jc w:val="center"/>
              <w:rPr>
                <w:sz w:val="21"/>
                <w:szCs w:val="21"/>
              </w:rPr>
            </w:pPr>
            <w:r>
              <w:rPr>
                <w:rFonts w:hint="eastAsia"/>
                <w:sz w:val="21"/>
                <w:szCs w:val="21"/>
              </w:rPr>
              <w:t>类  型</w:t>
            </w:r>
          </w:p>
        </w:tc>
        <w:tc>
          <w:tcPr>
            <w:tcW w:w="567" w:type="dxa"/>
            <w:vMerge w:val="restart"/>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sz w:val="21"/>
                <w:szCs w:val="21"/>
              </w:rPr>
            </w:pPr>
            <w:r>
              <w:rPr>
                <w:rFonts w:hint="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2" w:hRule="atLeast"/>
        </w:trPr>
        <w:tc>
          <w:tcPr>
            <w:tcW w:w="5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kern w:val="0"/>
                <w:szCs w:val="21"/>
              </w:rPr>
            </w:pPr>
          </w:p>
        </w:tc>
        <w:tc>
          <w:tcPr>
            <w:tcW w:w="892"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sz w:val="21"/>
                <w:szCs w:val="21"/>
              </w:rPr>
              <w:t>一级目录</w:t>
            </w:r>
          </w:p>
        </w:tc>
        <w:tc>
          <w:tcPr>
            <w:tcW w:w="1028"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sz w:val="21"/>
                <w:szCs w:val="21"/>
              </w:rPr>
              <w:t>二级目录</w:t>
            </w: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1723"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768" w:type="dxa"/>
            <w:vMerge w:val="continue"/>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p>
        </w:tc>
        <w:tc>
          <w:tcPr>
            <w:tcW w:w="449"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2245"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rFonts w:ascii="方正黑体_GBK" w:hAnsi="方正黑体_GBK"/>
                <w:sz w:val="21"/>
                <w:szCs w:val="21"/>
              </w:rPr>
              <w:t>全社会</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rFonts w:ascii="方正黑体_GBK" w:hAnsi="方正黑体_GBK"/>
                <w:sz w:val="21"/>
                <w:szCs w:val="21"/>
              </w:rPr>
              <w:t>特定</w:t>
            </w:r>
          </w:p>
          <w:p>
            <w:pPr>
              <w:pStyle w:val="2"/>
              <w:spacing w:beforeAutospacing="0" w:afterAutospacing="0" w:line="300" w:lineRule="exact"/>
              <w:jc w:val="center"/>
              <w:rPr>
                <w:rFonts w:ascii="方正黑体_GBK" w:hAnsi="方正黑体_GBK"/>
                <w:sz w:val="21"/>
                <w:szCs w:val="21"/>
              </w:rPr>
            </w:pPr>
            <w:r>
              <w:rPr>
                <w:rFonts w:hint="eastAsia" w:ascii="方正黑体_GBK" w:hAnsi="方正黑体_GBK"/>
                <w:sz w:val="21"/>
                <w:szCs w:val="21"/>
              </w:rPr>
              <w:t>对象</w:t>
            </w: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rFonts w:ascii="方正黑体_GBK" w:hAnsi="方正黑体_GBK"/>
                <w:sz w:val="21"/>
                <w:szCs w:val="21"/>
              </w:rPr>
            </w:pPr>
            <w:r>
              <w:rPr>
                <w:rFonts w:ascii="方正黑体_GBK" w:hAnsi="方正黑体_GBK"/>
                <w:sz w:val="21"/>
                <w:szCs w:val="21"/>
              </w:rPr>
              <w:t>主动</w:t>
            </w:r>
          </w:p>
          <w:p>
            <w:pPr>
              <w:pStyle w:val="2"/>
              <w:spacing w:beforeAutospacing="0" w:afterAutospacing="0" w:line="300" w:lineRule="exact"/>
              <w:jc w:val="center"/>
              <w:rPr>
                <w:sz w:val="21"/>
                <w:szCs w:val="21"/>
              </w:rPr>
            </w:pPr>
            <w:r>
              <w:rPr>
                <w:rFonts w:hint="eastAsia" w:ascii="方正黑体_GBK" w:hAnsi="方正黑体_GBK"/>
                <w:sz w:val="21"/>
                <w:szCs w:val="21"/>
              </w:rPr>
              <w:t xml:space="preserve">公开 </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rFonts w:ascii="方正黑体_GBK" w:hAnsi="方正黑体_GBK"/>
                <w:sz w:val="21"/>
                <w:szCs w:val="21"/>
              </w:rPr>
              <w:t>依申请公</w:t>
            </w:r>
            <w:r>
              <w:rPr>
                <w:rFonts w:hint="eastAsia" w:ascii="方正黑体_GBK" w:hAnsi="方正黑体_GBK"/>
                <w:sz w:val="21"/>
                <w:szCs w:val="21"/>
              </w:rPr>
              <w:t xml:space="preserve">  </w:t>
            </w:r>
            <w:r>
              <w:rPr>
                <w:rFonts w:ascii="方正黑体_GBK" w:hAnsi="方正黑体_GBK"/>
                <w:sz w:val="21"/>
                <w:szCs w:val="21"/>
              </w:rPr>
              <w:t>开</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300" w:lineRule="exact"/>
              <w:jc w:val="center"/>
              <w:rPr>
                <w:sz w:val="21"/>
                <w:szCs w:val="21"/>
              </w:rPr>
            </w:pPr>
            <w:r>
              <w:rPr>
                <w:rFonts w:hint="eastAsia"/>
                <w:sz w:val="21"/>
                <w:szCs w:val="21"/>
              </w:rPr>
              <w:t>决策</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rFonts w:hint="eastAsia"/>
                <w:sz w:val="21"/>
                <w:szCs w:val="21"/>
              </w:rPr>
              <w:t>执行</w:t>
            </w: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rFonts w:hint="eastAsia"/>
                <w:sz w:val="21"/>
                <w:szCs w:val="21"/>
              </w:rPr>
              <w:t>管理</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rFonts w:hint="eastAsia"/>
                <w:sz w:val="21"/>
                <w:szCs w:val="21"/>
              </w:rPr>
              <w:t>服务</w:t>
            </w:r>
          </w:p>
        </w:tc>
        <w:tc>
          <w:tcPr>
            <w:tcW w:w="358" w:type="dxa"/>
            <w:tcBorders>
              <w:top w:val="single" w:color="auto" w:sz="6" w:space="0"/>
              <w:left w:val="nil"/>
              <w:bottom w:val="single" w:color="auto" w:sz="6" w:space="0"/>
              <w:right w:val="single" w:color="auto" w:sz="6" w:space="0"/>
            </w:tcBorders>
            <w:vAlign w:val="center"/>
          </w:tcPr>
          <w:p>
            <w:pPr>
              <w:pStyle w:val="2"/>
              <w:spacing w:beforeAutospacing="0" w:afterAutospacing="0" w:line="300" w:lineRule="exact"/>
              <w:jc w:val="center"/>
              <w:rPr>
                <w:sz w:val="21"/>
                <w:szCs w:val="21"/>
              </w:rPr>
            </w:pPr>
            <w:r>
              <w:rPr>
                <w:rFonts w:hint="eastAsia"/>
                <w:sz w:val="21"/>
                <w:szCs w:val="21"/>
              </w:rPr>
              <w:t>结果</w:t>
            </w:r>
          </w:p>
        </w:tc>
        <w:tc>
          <w:tcPr>
            <w:tcW w:w="567" w:type="dxa"/>
            <w:vMerge w:val="continue"/>
            <w:tcBorders>
              <w:top w:val="single" w:color="auto" w:sz="6" w:space="0"/>
              <w:left w:val="nil"/>
              <w:bottom w:val="single" w:color="auto" w:sz="6" w:space="0"/>
              <w:right w:val="single" w:color="auto" w:sz="6" w:space="0"/>
            </w:tcBorders>
            <w:vAlign w:val="center"/>
          </w:tcPr>
          <w:p>
            <w:pPr>
              <w:widowControl/>
              <w:jc w:val="left"/>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87"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00" w:lineRule="exact"/>
              <w:jc w:val="center"/>
              <w:rPr>
                <w:rFonts w:hint="eastAsia" w:eastAsia="宋体"/>
                <w:sz w:val="18"/>
                <w:szCs w:val="18"/>
                <w:lang w:val="en-US" w:eastAsia="zh-CN"/>
              </w:rPr>
            </w:pPr>
            <w:r>
              <w:rPr>
                <w:rFonts w:hint="eastAsia"/>
                <w:sz w:val="18"/>
                <w:szCs w:val="18"/>
                <w:lang w:val="en-US" w:eastAsia="zh-CN"/>
              </w:rPr>
              <w:t>1</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宋体" w:hAnsi="宋体"/>
                <w:color w:val="000000"/>
                <w:sz w:val="18"/>
                <w:szCs w:val="18"/>
                <w:lang w:eastAsia="zh-CN"/>
              </w:rPr>
              <w:t>组织领导</w:t>
            </w:r>
            <w:r>
              <w:rPr>
                <w:rFonts w:hint="eastAsia" w:ascii="宋体" w:hAnsi="宋体"/>
                <w:color w:val="000000"/>
                <w:sz w:val="18"/>
                <w:szCs w:val="18"/>
              </w:rPr>
              <w:t>机构设置</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ascii="Times New Roman"/>
                <w:bCs/>
                <w:kern w:val="0"/>
                <w:sz w:val="18"/>
                <w:szCs w:val="18"/>
              </w:rPr>
              <w:t>乡镇简介</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ascii="Times New Roman"/>
                <w:bCs/>
                <w:kern w:val="0"/>
                <w:sz w:val="18"/>
                <w:szCs w:val="18"/>
              </w:rPr>
              <w:t>乡镇简介及特色</w:t>
            </w:r>
            <w:r>
              <w:rPr>
                <w:rFonts w:hint="eastAsia" w:ascii="Times New Roman"/>
                <w:bCs/>
                <w:kern w:val="0"/>
                <w:sz w:val="18"/>
                <w:szCs w:val="18"/>
                <w:lang w:eastAsia="zh-CN"/>
              </w:rPr>
              <w:t>。</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hint="eastAsia" w:ascii="Times New Roman" w:hAnsi="Calibri" w:eastAsia="宋体" w:cs="Times New Roman"/>
                <w:bCs/>
                <w:kern w:val="0"/>
                <w:sz w:val="18"/>
                <w:szCs w:val="18"/>
                <w:lang w:val="en-US" w:eastAsia="zh-CN" w:bidi="ar-SA"/>
              </w:rPr>
            </w:pPr>
            <w:r>
              <w:rPr>
                <w:rFonts w:ascii="Times New Roman"/>
                <w:bCs/>
                <w:kern w:val="0"/>
                <w:sz w:val="18"/>
                <w:szCs w:val="18"/>
              </w:rPr>
              <w:t>《中华人民共和国政府信息公开条例》（国务院令第711号）</w:t>
            </w:r>
            <w:r>
              <w:rPr>
                <w:rFonts w:hint="eastAsia" w:ascii="Times New Roman"/>
                <w:bCs/>
                <w:kern w:val="0"/>
                <w:sz w:val="18"/>
                <w:szCs w:val="18"/>
                <w:lang w:eastAsia="zh-CN"/>
              </w:rPr>
              <w:t>。</w:t>
            </w:r>
          </w:p>
        </w:tc>
        <w:tc>
          <w:tcPr>
            <w:tcW w:w="768"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lang w:val="en-US" w:eastAsia="zh-CN"/>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color w:val="000000"/>
                <w:sz w:val="18"/>
                <w:szCs w:val="18"/>
                <w:lang w:eastAsia="zh-CN"/>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top"/>
          </w:tcPr>
          <w:p>
            <w:pPr>
              <w:pStyle w:val="2"/>
              <w:spacing w:beforeAutospacing="0" w:afterAutospacing="0" w:line="200" w:lineRule="exact"/>
              <w:jc w:val="center"/>
              <w:rPr>
                <w:rFonts w:hint="eastAsia"/>
                <w:sz w:val="18"/>
                <w:szCs w:val="18"/>
              </w:rPr>
            </w:pPr>
          </w:p>
        </w:tc>
        <w:tc>
          <w:tcPr>
            <w:tcW w:w="351"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line="200" w:lineRule="exact"/>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38"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00" w:lineRule="exact"/>
              <w:jc w:val="center"/>
              <w:rPr>
                <w:rFonts w:hint="eastAsia" w:eastAsia="宋体"/>
                <w:sz w:val="18"/>
                <w:szCs w:val="18"/>
                <w:lang w:val="en-US" w:eastAsia="zh-CN"/>
              </w:rPr>
            </w:pPr>
            <w:r>
              <w:rPr>
                <w:rFonts w:hint="eastAsia"/>
                <w:sz w:val="18"/>
                <w:szCs w:val="18"/>
                <w:lang w:val="en-US" w:eastAsia="zh-CN"/>
              </w:rPr>
              <w:t>2</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宋体" w:hAnsi="宋体"/>
                <w:color w:val="000000"/>
                <w:sz w:val="18"/>
                <w:szCs w:val="18"/>
                <w:lang w:eastAsia="zh-CN"/>
              </w:rPr>
              <w:t>组织领导</w:t>
            </w:r>
            <w:r>
              <w:rPr>
                <w:rFonts w:hint="eastAsia" w:ascii="宋体" w:hAnsi="宋体"/>
                <w:color w:val="000000"/>
                <w:sz w:val="18"/>
                <w:szCs w:val="18"/>
              </w:rPr>
              <w:t>机构设置</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ascii="Times New Roman"/>
                <w:bCs/>
                <w:kern w:val="0"/>
                <w:sz w:val="18"/>
                <w:szCs w:val="18"/>
              </w:rPr>
              <w:t>政府领导</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hint="eastAsia" w:ascii="Times New Roman" w:hAnsi="Calibri" w:eastAsia="宋体" w:cs="Times New Roman"/>
                <w:bCs/>
                <w:kern w:val="0"/>
                <w:sz w:val="18"/>
                <w:szCs w:val="18"/>
                <w:lang w:val="en-US" w:eastAsia="zh-CN" w:bidi="ar-SA"/>
              </w:rPr>
            </w:pPr>
            <w:r>
              <w:rPr>
                <w:rFonts w:ascii="Times New Roman"/>
                <w:bCs/>
                <w:kern w:val="0"/>
                <w:sz w:val="18"/>
                <w:szCs w:val="18"/>
              </w:rPr>
              <w:t>领导分工、简历、联系方式、照片等</w:t>
            </w:r>
            <w:r>
              <w:rPr>
                <w:rFonts w:hint="eastAsia" w:ascii="Times New Roman"/>
                <w:bCs/>
                <w:kern w:val="0"/>
                <w:sz w:val="18"/>
                <w:szCs w:val="18"/>
                <w:lang w:eastAsia="zh-CN"/>
              </w:rPr>
              <w:t>。</w:t>
            </w:r>
          </w:p>
        </w:tc>
        <w:tc>
          <w:tcPr>
            <w:tcW w:w="1723" w:type="dxa"/>
            <w:tcBorders>
              <w:top w:val="single" w:color="auto" w:sz="6" w:space="0"/>
              <w:left w:val="nil"/>
              <w:bottom w:val="single" w:color="auto" w:sz="6" w:space="0"/>
              <w:right w:val="single" w:color="auto" w:sz="6" w:space="0"/>
            </w:tcBorders>
            <w:vAlign w:val="center"/>
          </w:tcPr>
          <w:p>
            <w:pPr>
              <w:widowControl/>
              <w:spacing w:line="280" w:lineRule="exact"/>
              <w:rPr>
                <w:rFonts w:hint="eastAsia" w:ascii="Times New Roman" w:eastAsia="宋体"/>
                <w:bCs/>
                <w:kern w:val="0"/>
                <w:sz w:val="18"/>
                <w:szCs w:val="18"/>
                <w:lang w:eastAsia="zh-CN"/>
              </w:rPr>
            </w:pPr>
            <w:r>
              <w:rPr>
                <w:rFonts w:ascii="Times New Roman"/>
                <w:bCs/>
                <w:kern w:val="0"/>
                <w:sz w:val="18"/>
                <w:szCs w:val="18"/>
              </w:rPr>
              <w:t>《中华人民共和国政府信息公开条例》（国务院令第711号）</w:t>
            </w:r>
            <w:r>
              <w:rPr>
                <w:rFonts w:hint="eastAsia" w:ascii="Times New Roman"/>
                <w:bCs/>
                <w:kern w:val="0"/>
                <w:sz w:val="18"/>
                <w:szCs w:val="18"/>
                <w:lang w:eastAsia="zh-CN"/>
              </w:rPr>
              <w:t>。</w:t>
            </w:r>
          </w:p>
          <w:p>
            <w:pPr>
              <w:widowControl/>
              <w:spacing w:line="280" w:lineRule="exact"/>
              <w:rPr>
                <w:rFonts w:hint="eastAsia" w:ascii="Times New Roman" w:hAnsi="Calibri" w:eastAsia="宋体" w:cs="Times New Roman"/>
                <w:bCs/>
                <w:kern w:val="0"/>
                <w:sz w:val="18"/>
                <w:szCs w:val="18"/>
                <w:lang w:val="en-US" w:eastAsia="zh-CN" w:bidi="ar-SA"/>
              </w:rPr>
            </w:pPr>
          </w:p>
        </w:tc>
        <w:tc>
          <w:tcPr>
            <w:tcW w:w="76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color w:val="000000"/>
                <w:sz w:val="18"/>
                <w:szCs w:val="18"/>
                <w:lang w:eastAsia="zh-CN"/>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sz w:val="18"/>
                <w:szCs w:val="18"/>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top"/>
          </w:tcPr>
          <w:p>
            <w:pPr>
              <w:pStyle w:val="2"/>
              <w:spacing w:beforeAutospacing="0" w:afterAutospacing="0" w:line="200" w:lineRule="exact"/>
              <w:jc w:val="center"/>
              <w:rPr>
                <w:rFonts w:hint="eastAsia"/>
                <w:sz w:val="18"/>
                <w:szCs w:val="18"/>
              </w:rPr>
            </w:pPr>
          </w:p>
        </w:tc>
        <w:tc>
          <w:tcPr>
            <w:tcW w:w="351"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jc w:val="center"/>
              <w:rPr>
                <w:sz w:val="18"/>
                <w:szCs w:val="18"/>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sz w:val="18"/>
                <w:szCs w:val="18"/>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sz w:val="18"/>
                <w:szCs w:val="18"/>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line="200" w:lineRule="exact"/>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75"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00" w:lineRule="exact"/>
              <w:jc w:val="center"/>
              <w:rPr>
                <w:rFonts w:hint="eastAsia" w:eastAsia="宋体"/>
                <w:sz w:val="18"/>
                <w:szCs w:val="18"/>
                <w:lang w:val="en-US" w:eastAsia="zh-CN"/>
              </w:rPr>
            </w:pPr>
            <w:r>
              <w:rPr>
                <w:rFonts w:hint="eastAsia"/>
                <w:sz w:val="18"/>
                <w:szCs w:val="18"/>
                <w:lang w:val="en-US" w:eastAsia="zh-CN"/>
              </w:rPr>
              <w:t>3</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宋体" w:hAnsi="宋体" w:eastAsia="宋体" w:cs="宋体"/>
                <w:bCs/>
                <w:kern w:val="0"/>
                <w:sz w:val="18"/>
                <w:szCs w:val="18"/>
              </w:rPr>
            </w:pPr>
            <w:r>
              <w:rPr>
                <w:rFonts w:hint="eastAsia" w:ascii="宋体" w:hAnsi="宋体"/>
                <w:color w:val="000000"/>
                <w:sz w:val="18"/>
                <w:szCs w:val="18"/>
                <w:lang w:eastAsia="zh-CN"/>
              </w:rPr>
              <w:t>组织领导</w:t>
            </w:r>
            <w:r>
              <w:rPr>
                <w:rFonts w:hint="eastAsia" w:ascii="宋体" w:hAnsi="宋体"/>
                <w:color w:val="000000"/>
                <w:sz w:val="18"/>
                <w:szCs w:val="18"/>
              </w:rPr>
              <w:t>机构设置</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宋体" w:hAnsi="宋体" w:eastAsia="宋体" w:cs="宋体"/>
                <w:bCs/>
                <w:kern w:val="0"/>
                <w:sz w:val="18"/>
                <w:szCs w:val="18"/>
                <w:lang w:val="en-US" w:eastAsia="zh-CN" w:bidi="ar-SA"/>
              </w:rPr>
            </w:pPr>
            <w:r>
              <w:rPr>
                <w:rFonts w:hint="eastAsia" w:ascii="宋体" w:hAnsi="宋体" w:eastAsia="宋体" w:cs="宋体"/>
                <w:bCs/>
                <w:kern w:val="0"/>
                <w:sz w:val="18"/>
                <w:szCs w:val="18"/>
              </w:rPr>
              <w:t>内设机构</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hint="eastAsia" w:ascii="宋体" w:hAnsi="宋体" w:eastAsia="宋体" w:cs="宋体"/>
                <w:bCs/>
                <w:kern w:val="0"/>
                <w:sz w:val="18"/>
                <w:szCs w:val="18"/>
                <w:lang w:val="en-US" w:eastAsia="zh-CN" w:bidi="ar-SA"/>
              </w:rPr>
            </w:pPr>
            <w:r>
              <w:rPr>
                <w:rFonts w:hint="eastAsia" w:ascii="宋体" w:hAnsi="宋体" w:eastAsia="宋体" w:cs="宋体"/>
                <w:bCs/>
                <w:kern w:val="0"/>
                <w:sz w:val="18"/>
                <w:szCs w:val="18"/>
              </w:rPr>
              <w:t>名称，职能，办公地址、负责人、联系方式等。</w:t>
            </w:r>
          </w:p>
        </w:tc>
        <w:tc>
          <w:tcPr>
            <w:tcW w:w="1723" w:type="dxa"/>
            <w:tcBorders>
              <w:top w:val="single" w:color="auto" w:sz="6" w:space="0"/>
              <w:left w:val="nil"/>
              <w:bottom w:val="single" w:color="auto" w:sz="6" w:space="0"/>
              <w:right w:val="single" w:color="auto" w:sz="6" w:space="0"/>
            </w:tcBorders>
            <w:vAlign w:val="center"/>
          </w:tcPr>
          <w:p>
            <w:pPr>
              <w:widowControl/>
              <w:spacing w:line="280" w:lineRule="exact"/>
              <w:rPr>
                <w:rFonts w:hint="eastAsia" w:ascii="宋体" w:hAnsi="宋体" w:eastAsia="宋体" w:cs="宋体"/>
                <w:bCs/>
                <w:kern w:val="0"/>
                <w:sz w:val="18"/>
                <w:szCs w:val="18"/>
              </w:rPr>
            </w:pPr>
            <w:r>
              <w:rPr>
                <w:rFonts w:hint="eastAsia" w:ascii="宋体" w:hAnsi="宋体" w:eastAsia="宋体" w:cs="宋体"/>
                <w:bCs/>
                <w:kern w:val="0"/>
                <w:sz w:val="18"/>
                <w:szCs w:val="18"/>
              </w:rPr>
              <w:t>《中华人民共和国政府信息公开条例》（国务院令第711号）；</w:t>
            </w:r>
          </w:p>
          <w:p>
            <w:pPr>
              <w:widowControl/>
              <w:spacing w:line="280" w:lineRule="exact"/>
              <w:rPr>
                <w:rFonts w:hint="eastAsia" w:ascii="宋体" w:hAnsi="宋体" w:eastAsia="宋体" w:cs="宋体"/>
                <w:bCs/>
                <w:kern w:val="0"/>
                <w:sz w:val="18"/>
                <w:szCs w:val="18"/>
                <w:lang w:val="en-US" w:eastAsia="zh-CN" w:bidi="ar-SA"/>
              </w:rPr>
            </w:pPr>
          </w:p>
        </w:tc>
        <w:tc>
          <w:tcPr>
            <w:tcW w:w="768" w:type="dxa"/>
            <w:tcBorders>
              <w:top w:val="single" w:color="auto" w:sz="6" w:space="0"/>
              <w:left w:val="nil"/>
              <w:bottom w:val="single" w:color="auto" w:sz="6" w:space="0"/>
              <w:right w:val="single" w:color="auto" w:sz="6" w:space="0"/>
            </w:tcBorders>
            <w:vAlign w:val="center"/>
          </w:tcPr>
          <w:p>
            <w:pPr>
              <w:spacing w:line="300" w:lineRule="exact"/>
              <w:jc w:val="center"/>
              <w:rPr>
                <w:rFonts w:hint="eastAsia" w:ascii="宋体" w:hAnsi="宋体" w:eastAsia="宋体" w:cs="宋体"/>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color w:val="000000"/>
                <w:sz w:val="18"/>
                <w:szCs w:val="18"/>
                <w:lang w:eastAsia="zh-CN"/>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line="200" w:lineRule="exact"/>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91"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00" w:lineRule="exact"/>
              <w:jc w:val="center"/>
              <w:rPr>
                <w:rFonts w:hint="eastAsia" w:eastAsia="宋体"/>
                <w:sz w:val="18"/>
                <w:szCs w:val="18"/>
                <w:lang w:val="en-US" w:eastAsia="zh-CN"/>
              </w:rPr>
            </w:pPr>
            <w:r>
              <w:rPr>
                <w:rFonts w:hint="eastAsia"/>
                <w:sz w:val="18"/>
                <w:szCs w:val="18"/>
                <w:lang w:val="en-US" w:eastAsia="zh-CN"/>
              </w:rPr>
              <w:t>4</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宋体" w:hAnsi="宋体"/>
                <w:color w:val="000000"/>
                <w:sz w:val="18"/>
                <w:szCs w:val="18"/>
                <w:lang w:eastAsia="zh-CN"/>
              </w:rPr>
              <w:t>组织领导</w:t>
            </w:r>
            <w:r>
              <w:rPr>
                <w:rFonts w:hint="eastAsia" w:ascii="宋体" w:hAnsi="宋体"/>
                <w:color w:val="000000"/>
                <w:sz w:val="18"/>
                <w:szCs w:val="18"/>
              </w:rPr>
              <w:t>机构设置</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ascii="Times New Roman"/>
                <w:bCs/>
                <w:kern w:val="0"/>
                <w:sz w:val="18"/>
                <w:szCs w:val="18"/>
              </w:rPr>
              <w:t>行政村</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hint="eastAsia" w:ascii="Times New Roman" w:hAnsi="Calibri" w:eastAsia="宋体" w:cs="Times New Roman"/>
                <w:bCs/>
                <w:kern w:val="0"/>
                <w:sz w:val="18"/>
                <w:szCs w:val="18"/>
                <w:lang w:val="en-US" w:eastAsia="zh-CN" w:bidi="ar-SA"/>
              </w:rPr>
            </w:pPr>
            <w:r>
              <w:rPr>
                <w:rFonts w:ascii="Times New Roman"/>
                <w:bCs/>
                <w:kern w:val="0"/>
                <w:sz w:val="18"/>
                <w:szCs w:val="18"/>
              </w:rPr>
              <w:t>名称，概况，办公地址、负责人、联系方式等。</w:t>
            </w:r>
          </w:p>
        </w:tc>
        <w:tc>
          <w:tcPr>
            <w:tcW w:w="1723" w:type="dxa"/>
            <w:tcBorders>
              <w:top w:val="single" w:color="auto" w:sz="6" w:space="0"/>
              <w:left w:val="nil"/>
              <w:bottom w:val="single" w:color="auto" w:sz="6" w:space="0"/>
              <w:right w:val="single" w:color="auto" w:sz="6" w:space="0"/>
            </w:tcBorders>
            <w:vAlign w:val="center"/>
          </w:tcPr>
          <w:p>
            <w:pPr>
              <w:widowControl/>
              <w:spacing w:line="280" w:lineRule="exact"/>
              <w:rPr>
                <w:rFonts w:hint="eastAsia" w:ascii="Times New Roman" w:eastAsia="宋体"/>
                <w:bCs/>
                <w:kern w:val="0"/>
                <w:sz w:val="18"/>
                <w:szCs w:val="18"/>
                <w:lang w:eastAsia="zh-CN"/>
              </w:rPr>
            </w:pPr>
            <w:r>
              <w:rPr>
                <w:rFonts w:ascii="Times New Roman"/>
                <w:bCs/>
                <w:kern w:val="0"/>
                <w:sz w:val="18"/>
                <w:szCs w:val="18"/>
              </w:rPr>
              <w:t>《中华人民共和国政府信息公开条例》（国务院令第711号）</w:t>
            </w:r>
            <w:r>
              <w:rPr>
                <w:rFonts w:hint="eastAsia" w:ascii="Times New Roman"/>
                <w:bCs/>
                <w:kern w:val="0"/>
                <w:sz w:val="18"/>
                <w:szCs w:val="18"/>
                <w:lang w:eastAsia="zh-CN"/>
              </w:rPr>
              <w:t>。</w:t>
            </w:r>
          </w:p>
          <w:p>
            <w:pPr>
              <w:widowControl/>
              <w:spacing w:line="300" w:lineRule="exact"/>
              <w:rPr>
                <w:rFonts w:hint="eastAsia" w:ascii="Times New Roman" w:hAnsi="Calibri" w:eastAsia="宋体" w:cs="Times New Roman"/>
                <w:bCs/>
                <w:kern w:val="0"/>
                <w:sz w:val="18"/>
                <w:szCs w:val="18"/>
                <w:lang w:val="en-US" w:eastAsia="zh-CN" w:bidi="ar-SA"/>
              </w:rPr>
            </w:pPr>
          </w:p>
        </w:tc>
        <w:tc>
          <w:tcPr>
            <w:tcW w:w="768" w:type="dxa"/>
            <w:tcBorders>
              <w:top w:val="single" w:color="auto" w:sz="6" w:space="0"/>
              <w:left w:val="nil"/>
              <w:bottom w:val="single" w:color="auto" w:sz="6" w:space="0"/>
              <w:right w:val="single" w:color="auto" w:sz="6" w:space="0"/>
            </w:tcBorders>
            <w:vAlign w:val="center"/>
          </w:tcPr>
          <w:p>
            <w:pPr>
              <w:spacing w:line="300" w:lineRule="exact"/>
              <w:jc w:val="center"/>
              <w:rPr>
                <w:rFonts w:hint="eastAsia"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spacing w:line="300" w:lineRule="exact"/>
              <w:jc w:val="center"/>
              <w:rPr>
                <w:rFonts w:ascii="Times New Roman" w:hAnsi="Calibri" w:eastAsia="宋体" w:cs="Times New Roman"/>
                <w:kern w:val="2"/>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color w:val="000000"/>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line="200" w:lineRule="exact"/>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89"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00" w:lineRule="exact"/>
              <w:jc w:val="center"/>
              <w:rPr>
                <w:rFonts w:hint="eastAsia" w:eastAsia="宋体"/>
                <w:sz w:val="18"/>
                <w:szCs w:val="18"/>
                <w:lang w:val="en-US" w:eastAsia="zh-CN"/>
              </w:rPr>
            </w:pPr>
            <w:r>
              <w:rPr>
                <w:rFonts w:hint="eastAsia"/>
                <w:sz w:val="18"/>
                <w:szCs w:val="18"/>
                <w:lang w:val="en-US" w:eastAsia="zh-CN"/>
              </w:rPr>
              <w:t>5</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政府</w:t>
            </w:r>
            <w:r>
              <w:rPr>
                <w:rFonts w:ascii="Times New Roman"/>
                <w:bCs/>
                <w:kern w:val="0"/>
                <w:sz w:val="18"/>
                <w:szCs w:val="18"/>
              </w:rPr>
              <w:t>决策</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ascii="Times New Roman"/>
                <w:bCs/>
                <w:kern w:val="0"/>
                <w:sz w:val="18"/>
                <w:szCs w:val="18"/>
              </w:rPr>
              <w:t>重大决策预公开</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hint="eastAsia" w:ascii="Times New Roman" w:hAnsi="Calibri" w:eastAsia="宋体" w:cs="Times New Roman"/>
                <w:bCs/>
                <w:kern w:val="0"/>
                <w:sz w:val="18"/>
                <w:szCs w:val="18"/>
                <w:lang w:val="en-US" w:eastAsia="zh-CN" w:bidi="ar-SA"/>
              </w:rPr>
            </w:pPr>
            <w:r>
              <w:rPr>
                <w:rFonts w:ascii="Times New Roman"/>
                <w:bCs/>
                <w:kern w:val="0"/>
                <w:sz w:val="18"/>
                <w:szCs w:val="18"/>
              </w:rPr>
              <w:t>公开涉及群众切身利益需要社会广泛知晓的重要改革方案、重大政策措施和重点工程项目等，公开意见收集和采纳情况。</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《重大行政决策程序暂行条例》（国务院令第713号）；</w:t>
            </w:r>
          </w:p>
          <w:p>
            <w:pPr>
              <w:widowControl/>
              <w:spacing w:line="300" w:lineRule="exact"/>
              <w:rPr>
                <w:rFonts w:hint="eastAsia" w:ascii="Times New Roman" w:hAnsi="Calibri" w:eastAsia="宋体" w:cs="Times New Roman"/>
                <w:bCs/>
                <w:kern w:val="0"/>
                <w:sz w:val="18"/>
                <w:szCs w:val="18"/>
                <w:lang w:val="en-US" w:eastAsia="zh-CN" w:bidi="ar-SA"/>
              </w:rPr>
            </w:pPr>
          </w:p>
        </w:tc>
        <w:tc>
          <w:tcPr>
            <w:tcW w:w="768" w:type="dxa"/>
            <w:tcBorders>
              <w:top w:val="single" w:color="auto" w:sz="6" w:space="0"/>
              <w:left w:val="nil"/>
              <w:bottom w:val="single" w:color="auto" w:sz="6" w:space="0"/>
              <w:right w:val="single" w:color="auto" w:sz="6" w:space="0"/>
            </w:tcBorders>
            <w:vAlign w:val="center"/>
          </w:tcPr>
          <w:p>
            <w:pPr>
              <w:widowControl/>
              <w:spacing w:line="34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line="200" w:lineRule="exact"/>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730"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00" w:lineRule="exact"/>
              <w:jc w:val="center"/>
              <w:rPr>
                <w:rFonts w:hint="eastAsia" w:eastAsia="宋体"/>
                <w:sz w:val="18"/>
                <w:szCs w:val="18"/>
                <w:lang w:val="en-US" w:eastAsia="zh-CN"/>
              </w:rPr>
            </w:pPr>
            <w:r>
              <w:rPr>
                <w:rFonts w:hint="eastAsia"/>
                <w:sz w:val="18"/>
                <w:szCs w:val="18"/>
                <w:lang w:val="en-US" w:eastAsia="zh-CN"/>
              </w:rPr>
              <w:t>6</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发展规划</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ascii="Times New Roman"/>
                <w:bCs/>
                <w:kern w:val="0"/>
                <w:sz w:val="18"/>
                <w:szCs w:val="18"/>
              </w:rPr>
              <w:t>年度重点</w:t>
            </w:r>
            <w:r>
              <w:rPr>
                <w:rFonts w:hint="eastAsia" w:ascii="Times New Roman" w:cs="Times New Roman"/>
                <w:bCs/>
                <w:kern w:val="0"/>
                <w:sz w:val="18"/>
                <w:szCs w:val="18"/>
                <w:lang w:val="en-US" w:eastAsia="zh-CN" w:bidi="ar-SA"/>
              </w:rPr>
              <w:t>工作、</w:t>
            </w:r>
            <w:r>
              <w:rPr>
                <w:rFonts w:hint="eastAsia" w:ascii="Times New Roman"/>
                <w:bCs/>
                <w:kern w:val="0"/>
                <w:sz w:val="18"/>
                <w:szCs w:val="18"/>
                <w:lang w:eastAsia="zh-CN"/>
              </w:rPr>
              <w:t>重大项目</w:t>
            </w:r>
            <w:r>
              <w:rPr>
                <w:rFonts w:ascii="Times New Roman"/>
                <w:bCs/>
                <w:kern w:val="0"/>
                <w:sz w:val="18"/>
                <w:szCs w:val="18"/>
              </w:rPr>
              <w:t>执行及落实情况</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关于农业、民生等方面的重点工作、</w:t>
            </w:r>
            <w:r>
              <w:rPr>
                <w:rFonts w:ascii="Times New Roman"/>
                <w:bCs/>
                <w:kern w:val="0"/>
                <w:sz w:val="18"/>
                <w:szCs w:val="18"/>
              </w:rPr>
              <w:t>重大工程项目规划计划的执行措施、实施步骤、落实情况和后续举措等信息。</w:t>
            </w:r>
          </w:p>
        </w:tc>
        <w:tc>
          <w:tcPr>
            <w:tcW w:w="1723" w:type="dxa"/>
            <w:tcBorders>
              <w:top w:val="single" w:color="auto" w:sz="6" w:space="0"/>
              <w:left w:val="nil"/>
              <w:bottom w:val="single" w:color="auto" w:sz="6" w:space="0"/>
              <w:right w:val="single" w:color="auto" w:sz="6" w:space="0"/>
            </w:tcBorders>
            <w:vAlign w:val="center"/>
          </w:tcPr>
          <w:p>
            <w:pPr>
              <w:widowControl/>
              <w:spacing w:line="340" w:lineRule="exact"/>
              <w:rPr>
                <w:rFonts w:hint="eastAsia" w:ascii="Times New Roman" w:hAnsi="Calibri" w:eastAsia="宋体" w:cs="Times New Roman"/>
                <w:bCs/>
                <w:kern w:val="0"/>
                <w:sz w:val="18"/>
                <w:szCs w:val="18"/>
                <w:lang w:val="en-US" w:eastAsia="zh-CN" w:bidi="ar-SA"/>
              </w:rPr>
            </w:pPr>
            <w:r>
              <w:rPr>
                <w:rFonts w:ascii="Times New Roman"/>
                <w:bCs/>
                <w:kern w:val="0"/>
                <w:sz w:val="18"/>
                <w:szCs w:val="18"/>
              </w:rPr>
              <w:t>《中华人民共和国政府信息公开条例》（国务院令第711号）。</w:t>
            </w:r>
          </w:p>
        </w:tc>
        <w:tc>
          <w:tcPr>
            <w:tcW w:w="768" w:type="dxa"/>
            <w:tcBorders>
              <w:top w:val="single" w:color="auto" w:sz="6" w:space="0"/>
              <w:left w:val="nil"/>
              <w:bottom w:val="single" w:color="auto" w:sz="6" w:space="0"/>
              <w:right w:val="single" w:color="auto" w:sz="6" w:space="0"/>
            </w:tcBorders>
            <w:vAlign w:val="center"/>
          </w:tcPr>
          <w:p>
            <w:pPr>
              <w:widowControl/>
              <w:spacing w:line="34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rFonts w:hint="eastAsia" w:ascii="宋体" w:hAnsi="宋体" w:eastAsia="宋体" w:cs="宋体"/>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spacing w:beforeAutospacing="0" w:afterAutospacing="0" w:line="240" w:lineRule="exact"/>
              <w:rPr>
                <w:rFonts w:hint="eastAsia" w:ascii="宋体" w:hAnsi="宋体" w:eastAsia="宋体" w:cs="宋体"/>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rFonts w:hint="eastAsia" w:ascii="宋体" w:hAnsi="宋体" w:eastAsia="宋体" w:cs="宋体"/>
                <w:kern w:val="0"/>
                <w:sz w:val="18"/>
                <w:szCs w:val="18"/>
                <w:lang w:val="en-US" w:eastAsia="zh-CN" w:bidi="ar-SA"/>
              </w:rPr>
            </w:pPr>
          </w:p>
        </w:tc>
        <w:tc>
          <w:tcPr>
            <w:tcW w:w="358" w:type="dxa"/>
            <w:tcBorders>
              <w:top w:val="single" w:color="auto" w:sz="6" w:space="0"/>
              <w:left w:val="nil"/>
              <w:bottom w:val="single" w:color="auto" w:sz="6" w:space="0"/>
              <w:right w:val="single" w:color="auto" w:sz="6" w:space="0"/>
            </w:tcBorders>
            <w:vAlign w:val="center"/>
          </w:tcPr>
          <w:p>
            <w:pPr>
              <w:pStyle w:val="2"/>
              <w:spacing w:beforeAutospacing="0" w:afterAutospacing="0" w:line="240" w:lineRule="exact"/>
              <w:jc w:val="center"/>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85"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7</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宋体" w:hAnsi="宋体" w:eastAsia="宋体" w:cs="宋体"/>
                <w:bCs/>
                <w:kern w:val="0"/>
                <w:sz w:val="18"/>
                <w:szCs w:val="18"/>
                <w:lang w:val="en-US" w:eastAsia="zh-CN" w:bidi="ar-SA"/>
              </w:rPr>
            </w:pPr>
            <w:r>
              <w:rPr>
                <w:rFonts w:hint="eastAsia" w:ascii="宋体" w:hAnsi="宋体" w:cs="Arial Unicode MS"/>
                <w:color w:val="000000"/>
                <w:sz w:val="18"/>
                <w:szCs w:val="18"/>
              </w:rPr>
              <w:t>行政管理</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宋体" w:hAnsi="宋体" w:eastAsia="宋体" w:cs="宋体"/>
                <w:bCs/>
                <w:kern w:val="0"/>
                <w:sz w:val="18"/>
                <w:szCs w:val="18"/>
                <w:lang w:val="en-US" w:eastAsia="zh-CN" w:bidi="ar-SA"/>
              </w:rPr>
            </w:pPr>
            <w:r>
              <w:rPr>
                <w:rFonts w:hint="eastAsia" w:ascii="宋体" w:hAnsi="宋体" w:eastAsia="宋体" w:cs="宋体"/>
                <w:bCs/>
                <w:kern w:val="0"/>
                <w:sz w:val="18"/>
                <w:szCs w:val="18"/>
              </w:rPr>
              <w:t>应急管理</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hint="eastAsia" w:ascii="宋体" w:hAnsi="宋体" w:eastAsia="宋体" w:cs="宋体"/>
                <w:bCs/>
                <w:kern w:val="0"/>
                <w:sz w:val="18"/>
                <w:szCs w:val="18"/>
                <w:lang w:val="en-US" w:eastAsia="zh-CN" w:bidi="ar-SA"/>
              </w:rPr>
            </w:pPr>
            <w:r>
              <w:rPr>
                <w:rFonts w:hint="eastAsia" w:ascii="宋体" w:hAnsi="宋体" w:eastAsia="宋体" w:cs="宋体"/>
                <w:bCs/>
                <w:spacing w:val="-6"/>
                <w:kern w:val="0"/>
                <w:sz w:val="18"/>
                <w:szCs w:val="18"/>
              </w:rPr>
              <w:t>事故灾害类、社会安全事件类、自然灾害类和公共卫生事件类预警信息</w:t>
            </w:r>
            <w:r>
              <w:rPr>
                <w:rFonts w:hint="eastAsia" w:ascii="宋体" w:hAnsi="宋体" w:eastAsia="宋体" w:cs="宋体"/>
                <w:bCs/>
                <w:kern w:val="0"/>
                <w:sz w:val="18"/>
                <w:szCs w:val="18"/>
              </w:rPr>
              <w:t>及采取的应急处置措施与应对结果等。</w:t>
            </w:r>
          </w:p>
        </w:tc>
        <w:tc>
          <w:tcPr>
            <w:tcW w:w="1723" w:type="dxa"/>
            <w:tcBorders>
              <w:top w:val="single" w:color="auto" w:sz="6" w:space="0"/>
              <w:left w:val="nil"/>
              <w:bottom w:val="single" w:color="auto" w:sz="6" w:space="0"/>
              <w:right w:val="single" w:color="auto" w:sz="6" w:space="0"/>
            </w:tcBorders>
            <w:vAlign w:val="center"/>
          </w:tcPr>
          <w:p>
            <w:pPr>
              <w:widowControl/>
              <w:spacing w:line="260" w:lineRule="exact"/>
              <w:rPr>
                <w:rFonts w:hint="eastAsia" w:ascii="宋体" w:hAnsi="宋体" w:eastAsia="宋体" w:cs="宋体"/>
                <w:bCs/>
                <w:kern w:val="0"/>
                <w:sz w:val="18"/>
                <w:szCs w:val="18"/>
                <w:lang w:val="en-US" w:eastAsia="zh-CN" w:bidi="ar-SA"/>
              </w:rPr>
            </w:pPr>
            <w:r>
              <w:rPr>
                <w:rFonts w:hint="eastAsia" w:ascii="宋体" w:hAnsi="宋体" w:eastAsia="宋体" w:cs="宋体"/>
                <w:bCs/>
                <w:kern w:val="0"/>
                <w:sz w:val="18"/>
                <w:szCs w:val="18"/>
              </w:rPr>
              <w:t>《中华人民共和国突发事件应对法》（主席令第69号）。</w:t>
            </w:r>
          </w:p>
        </w:tc>
        <w:tc>
          <w:tcPr>
            <w:tcW w:w="768" w:type="dxa"/>
            <w:tcBorders>
              <w:top w:val="single" w:color="auto" w:sz="6" w:space="0"/>
              <w:left w:val="nil"/>
              <w:bottom w:val="single" w:color="auto" w:sz="6" w:space="0"/>
              <w:right w:val="single" w:color="auto" w:sz="6" w:space="0"/>
            </w:tcBorders>
            <w:vAlign w:val="center"/>
          </w:tcPr>
          <w:p>
            <w:pPr>
              <w:widowControl/>
              <w:spacing w:line="260" w:lineRule="exact"/>
              <w:jc w:val="center"/>
              <w:rPr>
                <w:rFonts w:hint="eastAsia" w:ascii="宋体" w:hAnsi="宋体" w:eastAsia="宋体" w:cs="宋体"/>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7</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ascii="宋体" w:hAnsi="宋体" w:eastAsia="宋体" w:cs="宋体"/>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62"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sz w:val="18"/>
                <w:szCs w:val="18"/>
                <w:lang w:val="en-US" w:eastAsia="zh-CN"/>
              </w:rPr>
            </w:pPr>
            <w:r>
              <w:rPr>
                <w:rFonts w:hint="eastAsia"/>
                <w:sz w:val="18"/>
                <w:szCs w:val="18"/>
                <w:lang w:val="en-US" w:eastAsia="zh-CN"/>
              </w:rPr>
              <w:t>8</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宋体" w:hAnsi="宋体" w:cs="宋体"/>
                <w:bCs/>
                <w:kern w:val="0"/>
                <w:sz w:val="18"/>
                <w:szCs w:val="18"/>
                <w:lang w:val="en-US" w:eastAsia="zh-CN" w:bidi="ar-SA"/>
              </w:rPr>
            </w:pPr>
            <w:r>
              <w:rPr>
                <w:rFonts w:hint="eastAsia" w:ascii="宋体" w:hAnsi="宋体" w:cs="Arial Unicode MS"/>
                <w:color w:val="000000"/>
                <w:sz w:val="18"/>
                <w:szCs w:val="18"/>
              </w:rPr>
              <w:t>行政管理</w:t>
            </w:r>
          </w:p>
        </w:tc>
        <w:tc>
          <w:tcPr>
            <w:tcW w:w="1028" w:type="dxa"/>
            <w:tcBorders>
              <w:top w:val="single" w:color="auto" w:sz="6" w:space="0"/>
              <w:left w:val="nil"/>
              <w:bottom w:val="single" w:color="auto" w:sz="6" w:space="0"/>
              <w:right w:val="single" w:color="auto" w:sz="6" w:space="0"/>
            </w:tcBorders>
            <w:vAlign w:val="center"/>
          </w:tcPr>
          <w:p>
            <w:pPr>
              <w:widowControl/>
              <w:spacing w:line="260" w:lineRule="exact"/>
              <w:jc w:val="center"/>
              <w:rPr>
                <w:rFonts w:hint="eastAsia" w:ascii="Times New Roman" w:eastAsia="宋体"/>
                <w:bCs/>
                <w:kern w:val="0"/>
                <w:sz w:val="18"/>
                <w:szCs w:val="18"/>
                <w:lang w:eastAsia="zh-CN"/>
              </w:rPr>
            </w:pPr>
            <w:r>
              <w:rPr>
                <w:rFonts w:hint="eastAsia" w:ascii="Times New Roman"/>
                <w:bCs/>
                <w:kern w:val="0"/>
                <w:sz w:val="18"/>
                <w:szCs w:val="18"/>
                <w:lang w:eastAsia="zh-CN"/>
              </w:rPr>
              <w:t>土地管理</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rPr>
                <w:rFonts w:hint="eastAsia" w:ascii="Times New Roman" w:eastAsia="宋体"/>
                <w:bCs/>
                <w:kern w:val="0"/>
                <w:sz w:val="18"/>
                <w:szCs w:val="18"/>
                <w:lang w:eastAsia="zh-CN"/>
              </w:rPr>
            </w:pPr>
            <w:r>
              <w:rPr>
                <w:rFonts w:hint="eastAsia" w:ascii="Times New Roman"/>
                <w:bCs/>
                <w:kern w:val="0"/>
                <w:sz w:val="18"/>
                <w:szCs w:val="18"/>
                <w:lang w:eastAsia="zh-CN"/>
              </w:rPr>
              <w:t>设施农业用地备案管理等</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rPr>
                <w:rFonts w:ascii="Times New Roman"/>
                <w:bCs/>
                <w:kern w:val="0"/>
                <w:sz w:val="18"/>
                <w:szCs w:val="18"/>
              </w:rPr>
            </w:pPr>
            <w:r>
              <w:rPr>
                <w:rFonts w:ascii="Times New Roman"/>
                <w:bCs/>
                <w:kern w:val="0"/>
                <w:sz w:val="18"/>
                <w:szCs w:val="18"/>
              </w:rPr>
              <w:t>《中华人民共和国政府信息公开条例》（国务院令第711号）。</w:t>
            </w:r>
          </w:p>
        </w:tc>
        <w:tc>
          <w:tcPr>
            <w:tcW w:w="768" w:type="dxa"/>
            <w:tcBorders>
              <w:top w:val="single" w:color="auto" w:sz="6" w:space="0"/>
              <w:left w:val="nil"/>
              <w:bottom w:val="single" w:color="auto" w:sz="6" w:space="0"/>
              <w:right w:val="single" w:color="auto" w:sz="6" w:space="0"/>
            </w:tcBorders>
            <w:vAlign w:val="center"/>
          </w:tcPr>
          <w:p>
            <w:pPr>
              <w:widowControl/>
              <w:spacing w:line="320" w:lineRule="exact"/>
              <w:jc w:val="center"/>
              <w:rPr>
                <w:rFonts w:hint="default"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62"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sz w:val="18"/>
                <w:szCs w:val="18"/>
                <w:lang w:val="en-US" w:eastAsia="zh-CN"/>
              </w:rPr>
            </w:pPr>
            <w:r>
              <w:rPr>
                <w:rFonts w:hint="eastAsia"/>
                <w:sz w:val="18"/>
                <w:szCs w:val="18"/>
                <w:lang w:val="en-US" w:eastAsia="zh-CN"/>
              </w:rPr>
              <w:t>9</w:t>
            </w:r>
          </w:p>
        </w:tc>
        <w:tc>
          <w:tcPr>
            <w:tcW w:w="892"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Arial Unicode MS"/>
                <w:color w:val="000000"/>
                <w:kern w:val="2"/>
                <w:sz w:val="18"/>
                <w:szCs w:val="18"/>
                <w:lang w:val="en-US" w:eastAsia="zh-CN" w:bidi="ar-SA"/>
              </w:rPr>
            </w:pPr>
            <w:r>
              <w:rPr>
                <w:rFonts w:hint="eastAsia" w:ascii="宋体" w:hAnsi="宋体" w:cs="Arial Unicode MS"/>
                <w:color w:val="000000"/>
                <w:sz w:val="18"/>
                <w:szCs w:val="18"/>
              </w:rPr>
              <w:t>行政管理</w:t>
            </w:r>
          </w:p>
        </w:tc>
        <w:tc>
          <w:tcPr>
            <w:tcW w:w="1028"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Arial Unicode MS"/>
                <w:color w:val="000000"/>
                <w:kern w:val="2"/>
                <w:sz w:val="18"/>
                <w:szCs w:val="18"/>
                <w:lang w:val="en-US" w:eastAsia="zh-CN" w:bidi="ar-SA"/>
              </w:rPr>
            </w:pPr>
            <w:r>
              <w:rPr>
                <w:rFonts w:hint="eastAsia" w:ascii="宋体" w:hAnsi="宋体" w:cs="Arial Unicode MS"/>
                <w:color w:val="000000"/>
                <w:sz w:val="18"/>
                <w:szCs w:val="18"/>
              </w:rPr>
              <w:t>财政资金信息</w:t>
            </w:r>
          </w:p>
        </w:tc>
        <w:tc>
          <w:tcPr>
            <w:tcW w:w="1723"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预算、决算、“三公”经费、村级财务公开</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rPr>
                <w:rFonts w:hint="eastAsia" w:ascii="Times New Roman"/>
                <w:bCs/>
                <w:kern w:val="0"/>
                <w:sz w:val="18"/>
                <w:szCs w:val="18"/>
                <w:lang w:eastAsia="zh-CN"/>
              </w:rPr>
            </w:pPr>
            <w:r>
              <w:rPr>
                <w:rFonts w:hint="eastAsia" w:ascii="Times New Roman"/>
                <w:bCs/>
                <w:kern w:val="0"/>
                <w:sz w:val="18"/>
                <w:szCs w:val="18"/>
                <w:lang w:eastAsia="zh-CN"/>
              </w:rPr>
              <w:t>《财政部关于深入推进基层财政专项支出预算公开的意见》（财预〔2011〕27号）；</w:t>
            </w:r>
          </w:p>
          <w:p>
            <w:pPr>
              <w:widowControl/>
              <w:spacing w:line="320" w:lineRule="exact"/>
              <w:rPr>
                <w:rFonts w:ascii="宋体" w:hAnsi="宋体" w:eastAsia="宋体" w:cs="Arial Unicode MS"/>
                <w:color w:val="000000"/>
                <w:kern w:val="2"/>
                <w:sz w:val="18"/>
                <w:szCs w:val="18"/>
                <w:lang w:val="en-US" w:eastAsia="zh-CN" w:bidi="ar-SA"/>
              </w:rPr>
            </w:pPr>
            <w:r>
              <w:rPr>
                <w:rFonts w:hint="eastAsia" w:ascii="Times New Roman"/>
                <w:bCs/>
                <w:kern w:val="0"/>
                <w:sz w:val="18"/>
                <w:szCs w:val="18"/>
                <w:lang w:eastAsia="zh-CN"/>
              </w:rPr>
              <w:t>《中共中央办公厅国务院办公厅印发〈关于进一步推进预算公开工作的意见〉的通知》（中办发〔2016〕13号）；</w:t>
            </w:r>
          </w:p>
        </w:tc>
        <w:tc>
          <w:tcPr>
            <w:tcW w:w="768" w:type="dxa"/>
            <w:tcBorders>
              <w:top w:val="single" w:color="auto" w:sz="6" w:space="0"/>
              <w:left w:val="nil"/>
              <w:bottom w:val="single" w:color="auto" w:sz="6" w:space="0"/>
              <w:right w:val="single" w:color="auto" w:sz="6" w:space="0"/>
            </w:tcBorders>
            <w:vAlign w:val="center"/>
          </w:tcPr>
          <w:p>
            <w:pPr>
              <w:spacing w:line="240" w:lineRule="exact"/>
              <w:jc w:val="center"/>
              <w:rPr>
                <w:rFonts w:ascii="宋体" w:hAnsi="宋体" w:eastAsia="宋体" w:cs="宋体"/>
                <w:color w:val="000000"/>
                <w:kern w:val="2"/>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7</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 xml:space="preserve">□政府网站 </w:t>
            </w:r>
            <w:r>
              <w:rPr>
                <w:rFonts w:hint="eastAsia"/>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□广播电视</w:t>
            </w:r>
            <w:r>
              <w:rPr>
                <w:rFonts w:hint="eastAsia"/>
                <w:color w:val="000000"/>
                <w:sz w:val="18"/>
                <w:szCs w:val="18"/>
              </w:rPr>
              <w:t xml:space="preserve">  </w:t>
            </w:r>
            <w:r>
              <w:rPr>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color w:val="000000"/>
                <w:sz w:val="18"/>
                <w:szCs w:val="18"/>
              </w:rPr>
              <w:t>□政务</w:t>
            </w:r>
            <w:r>
              <w:rPr>
                <w:rFonts w:hint="eastAsia"/>
                <w:color w:val="000000"/>
                <w:sz w:val="18"/>
                <w:szCs w:val="18"/>
              </w:rPr>
              <w:t xml:space="preserve">大厅  </w:t>
            </w:r>
            <w:r>
              <w:rPr>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color w:val="000000"/>
                <w:sz w:val="18"/>
                <w:szCs w:val="18"/>
              </w:rPr>
              <w:sym w:font="Wingdings" w:char="F0FE"/>
            </w:r>
            <w:r>
              <w:rPr>
                <w:color w:val="000000"/>
                <w:sz w:val="18"/>
                <w:szCs w:val="18"/>
              </w:rPr>
              <w:t>便民服务</w:t>
            </w:r>
            <w:r>
              <w:rPr>
                <w:rFonts w:hint="eastAsia"/>
                <w:color w:val="000000"/>
                <w:sz w:val="18"/>
                <w:szCs w:val="18"/>
                <w:lang w:eastAsia="zh-CN"/>
              </w:rPr>
              <w:t>中心</w:t>
            </w:r>
          </w:p>
          <w:p>
            <w:pPr>
              <w:pStyle w:val="2"/>
              <w:widowControl w:val="0"/>
              <w:spacing w:before="0" w:beforeAutospacing="0" w:after="0" w:afterAutospacing="0" w:line="260" w:lineRule="exact"/>
              <w:jc w:val="both"/>
              <w:rPr>
                <w:sz w:val="18"/>
                <w:szCs w:val="18"/>
              </w:rPr>
            </w:pPr>
            <w:r>
              <w:rPr>
                <w:color w:val="000000"/>
                <w:sz w:val="18"/>
                <w:szCs w:val="18"/>
              </w:rPr>
              <w:sym w:font="Wingdings" w:char="F0FE"/>
            </w:r>
            <w:r>
              <w:rPr>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kern w:val="0"/>
                <w:sz w:val="18"/>
                <w:szCs w:val="18"/>
                <w:lang w:val="en-US" w:eastAsia="zh-CN" w:bidi="ar-SA"/>
              </w:rPr>
            </w:pPr>
            <w:r>
              <w:rPr>
                <w:color w:val="000000"/>
                <w:sz w:val="18"/>
                <w:szCs w:val="18"/>
              </w:rPr>
              <w:t>□精准推送   □其他</w:t>
            </w:r>
          </w:p>
        </w:tc>
        <w:tc>
          <w:tcPr>
            <w:tcW w:w="870"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870" w:type="dxa"/>
            <w:tcBorders>
              <w:top w:val="single" w:color="auto" w:sz="6" w:space="0"/>
              <w:left w:val="nil"/>
              <w:bottom w:val="single" w:color="auto" w:sz="6" w:space="0"/>
              <w:right w:val="single" w:color="auto" w:sz="6" w:space="0"/>
            </w:tcBorders>
            <w:vAlign w:val="center"/>
          </w:tcPr>
          <w:p>
            <w:pPr>
              <w:jc w:val="cente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730"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698" w:type="dxa"/>
            <w:tcBorders>
              <w:top w:val="single" w:color="auto" w:sz="6" w:space="0"/>
              <w:left w:val="nil"/>
              <w:bottom w:val="single" w:color="auto" w:sz="6" w:space="0"/>
              <w:right w:val="single" w:color="auto" w:sz="6" w:space="0"/>
            </w:tcBorders>
            <w:vAlign w:val="center"/>
          </w:tcPr>
          <w:p>
            <w:pPr>
              <w:jc w:val="center"/>
              <w:rPr>
                <w:rFonts w:ascii="宋体" w:hAnsi="宋体" w:eastAsia="宋体" w:cs="宋体"/>
                <w:color w:val="000000"/>
                <w:kern w:val="2"/>
                <w:sz w:val="18"/>
                <w:szCs w:val="18"/>
                <w:lang w:val="en-US" w:eastAsia="zh-CN" w:bidi="ar-SA"/>
              </w:rPr>
            </w:pPr>
            <w:r>
              <w:rPr>
                <w:rFonts w:hint="eastAsia" w:ascii="宋体" w:hAnsi="宋体"/>
                <w:color w:val="000000"/>
                <w:sz w:val="18"/>
                <w:szCs w:val="18"/>
              </w:rPr>
              <w:t>　</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rPr>
                <w:rFonts w:hint="eastAsia"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351" w:type="dxa"/>
            <w:tcBorders>
              <w:top w:val="single" w:color="auto" w:sz="6" w:space="0"/>
              <w:left w:val="nil"/>
              <w:bottom w:val="single" w:color="auto" w:sz="6" w:space="0"/>
              <w:right w:val="single" w:color="auto" w:sz="6" w:space="0"/>
            </w:tcBorders>
            <w:vAlign w:val="center"/>
          </w:tcPr>
          <w:p>
            <w:pPr>
              <w:jc w:val="center"/>
              <w:rPr>
                <w:rFonts w:ascii="宋体" w:hAnsi="宋体" w:eastAsia="宋体" w:cs="宋体"/>
                <w:color w:val="000000"/>
                <w:kern w:val="2"/>
                <w:sz w:val="18"/>
                <w:szCs w:val="18"/>
                <w:lang w:val="en-US" w:eastAsia="zh-CN" w:bidi="ar-SA"/>
              </w:rPr>
            </w:pPr>
            <w:r>
              <w:rPr>
                <w:rFonts w:hint="eastAsia" w:ascii="宋体" w:hAnsi="宋体"/>
                <w:color w:val="000000"/>
                <w:sz w:val="18"/>
                <w:szCs w:val="18"/>
              </w:rPr>
              <w:t>　</w:t>
            </w:r>
          </w:p>
        </w:tc>
        <w:tc>
          <w:tcPr>
            <w:tcW w:w="352"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351"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　</w:t>
            </w:r>
          </w:p>
        </w:tc>
        <w:tc>
          <w:tcPr>
            <w:tcW w:w="358" w:type="dxa"/>
            <w:tcBorders>
              <w:top w:val="single" w:color="auto" w:sz="6" w:space="0"/>
              <w:left w:val="nil"/>
              <w:bottom w:val="single" w:color="auto" w:sz="6" w:space="0"/>
              <w:right w:val="single" w:color="auto" w:sz="6" w:space="0"/>
            </w:tcBorders>
            <w:vAlign w:val="center"/>
          </w:tcPr>
          <w:p>
            <w:pP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67"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sz w:val="18"/>
                <w:szCs w:val="18"/>
                <w:lang w:val="en-US" w:eastAsia="zh-CN"/>
              </w:rPr>
            </w:pPr>
            <w:r>
              <w:rPr>
                <w:rFonts w:hint="eastAsia"/>
                <w:sz w:val="18"/>
                <w:szCs w:val="18"/>
                <w:lang w:val="en-US" w:eastAsia="zh-CN"/>
              </w:rPr>
              <w:t>10</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宋体" w:hAnsi="宋体" w:cs="宋体"/>
                <w:bCs/>
                <w:kern w:val="0"/>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260" w:lineRule="exact"/>
              <w:jc w:val="center"/>
              <w:rPr>
                <w:rFonts w:hint="eastAsia" w:ascii="Times New Roman"/>
                <w:bCs/>
                <w:kern w:val="0"/>
                <w:sz w:val="18"/>
                <w:szCs w:val="18"/>
                <w:lang w:eastAsia="zh-CN"/>
              </w:rPr>
            </w:pPr>
            <w:r>
              <w:rPr>
                <w:rFonts w:hint="eastAsia" w:ascii="Times New Roman"/>
                <w:bCs/>
                <w:kern w:val="0"/>
                <w:sz w:val="18"/>
                <w:szCs w:val="18"/>
                <w:lang w:eastAsia="zh-CN"/>
              </w:rPr>
              <w:t>统计数据</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rPr>
                <w:rFonts w:hint="eastAsia" w:ascii="Times New Roman"/>
                <w:bCs/>
                <w:kern w:val="0"/>
                <w:sz w:val="18"/>
                <w:szCs w:val="18"/>
                <w:lang w:eastAsia="zh-CN"/>
              </w:rPr>
            </w:pPr>
            <w:r>
              <w:rPr>
                <w:rFonts w:hint="eastAsia" w:ascii="Times New Roman"/>
                <w:bCs/>
                <w:kern w:val="0"/>
                <w:sz w:val="18"/>
                <w:szCs w:val="18"/>
                <w:lang w:eastAsia="zh-CN"/>
              </w:rPr>
              <w:t>人口、经济等数据统计</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rPr>
                <w:rFonts w:ascii="Times New Roman"/>
                <w:bCs/>
                <w:kern w:val="0"/>
                <w:sz w:val="18"/>
                <w:szCs w:val="18"/>
              </w:rPr>
            </w:pPr>
            <w:r>
              <w:rPr>
                <w:rFonts w:ascii="Times New Roman"/>
                <w:bCs/>
                <w:kern w:val="0"/>
                <w:sz w:val="18"/>
                <w:szCs w:val="18"/>
              </w:rPr>
              <w:t>《中华人民共和国政府信息公开条例》（国务院令第711号）。</w:t>
            </w:r>
          </w:p>
        </w:tc>
        <w:tc>
          <w:tcPr>
            <w:tcW w:w="76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Calibri" w:hAnsi="Calibri" w:eastAsia="宋体" w:cs="宋体"/>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color w:val="000000"/>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67"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ascii="宋体" w:hAnsi="宋体" w:eastAsia="宋体" w:cs="宋体"/>
                <w:kern w:val="0"/>
                <w:sz w:val="18"/>
                <w:szCs w:val="18"/>
                <w:lang w:val="en-US" w:eastAsia="zh-CN" w:bidi="ar-SA"/>
              </w:rPr>
            </w:pPr>
            <w:r>
              <w:rPr>
                <w:rFonts w:hint="eastAsia"/>
                <w:sz w:val="18"/>
                <w:szCs w:val="18"/>
                <w:lang w:val="en-US" w:eastAsia="zh-CN"/>
              </w:rPr>
              <w:t>11</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人口与</w:t>
            </w:r>
          </w:p>
          <w:p>
            <w:pPr>
              <w:widowControl/>
              <w:spacing w:line="260" w:lineRule="exact"/>
              <w:jc w:val="center"/>
              <w:rPr>
                <w:rFonts w:hint="eastAsia" w:ascii="Times New Roman" w:hAnsi="Calibri" w:eastAsia="宋体" w:cs="Times New Roman"/>
                <w:bCs/>
                <w:kern w:val="0"/>
                <w:sz w:val="18"/>
                <w:szCs w:val="18"/>
                <w:lang w:val="en-US" w:eastAsia="zh-CN" w:bidi="ar-SA"/>
              </w:rPr>
            </w:pPr>
            <w:r>
              <w:rPr>
                <w:rFonts w:ascii="Times New Roman"/>
                <w:bCs/>
                <w:kern w:val="0"/>
                <w:sz w:val="18"/>
                <w:szCs w:val="18"/>
              </w:rPr>
              <w:t>计生</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rPr>
                <w:rFonts w:hint="eastAsia" w:ascii="Times New Roman" w:hAnsi="Calibri" w:eastAsia="宋体" w:cs="Times New Roman"/>
                <w:bCs/>
                <w:kern w:val="0"/>
                <w:sz w:val="18"/>
                <w:szCs w:val="18"/>
                <w:lang w:val="en-US" w:eastAsia="zh-CN" w:bidi="ar-SA"/>
              </w:rPr>
            </w:pPr>
            <w:r>
              <w:rPr>
                <w:rFonts w:ascii="Times New Roman"/>
                <w:bCs/>
                <w:kern w:val="0"/>
                <w:sz w:val="18"/>
                <w:szCs w:val="18"/>
              </w:rPr>
              <w:t>人口计生的相关政策，奖励与帮扶，工作推进。</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rPr>
                <w:rFonts w:ascii="Times New Roman" w:hAnsi="Calibri" w:eastAsia="宋体" w:cs="Times New Roman"/>
                <w:bCs/>
                <w:kern w:val="0"/>
                <w:sz w:val="18"/>
                <w:szCs w:val="18"/>
                <w:lang w:val="en-US" w:eastAsia="zh-CN" w:bidi="ar-SA"/>
              </w:rPr>
            </w:pPr>
            <w:r>
              <w:rPr>
                <w:rFonts w:ascii="Times New Roman"/>
                <w:bCs/>
                <w:kern w:val="0"/>
                <w:sz w:val="18"/>
                <w:szCs w:val="18"/>
              </w:rPr>
              <w:t>《中华人民共和国政府信息公开条例》（国务院令第711号）。</w:t>
            </w:r>
          </w:p>
        </w:tc>
        <w:tc>
          <w:tcPr>
            <w:tcW w:w="768" w:type="dxa"/>
            <w:tcBorders>
              <w:top w:val="single" w:color="auto" w:sz="6" w:space="0"/>
              <w:left w:val="nil"/>
              <w:bottom w:val="single" w:color="auto" w:sz="6" w:space="0"/>
              <w:right w:val="single" w:color="auto" w:sz="6" w:space="0"/>
            </w:tcBorders>
            <w:vAlign w:val="center"/>
          </w:tcPr>
          <w:p>
            <w:pPr>
              <w:widowControl/>
              <w:spacing w:line="32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08"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sz w:val="18"/>
                <w:szCs w:val="18"/>
                <w:lang w:val="en-US" w:eastAsia="zh-CN"/>
              </w:rPr>
            </w:pPr>
            <w:r>
              <w:rPr>
                <w:rFonts w:hint="eastAsia"/>
                <w:sz w:val="18"/>
                <w:szCs w:val="18"/>
                <w:lang w:val="en-US" w:eastAsia="zh-CN"/>
              </w:rPr>
              <w:t>12</w:t>
            </w:r>
          </w:p>
        </w:tc>
        <w:tc>
          <w:tcPr>
            <w:tcW w:w="892" w:type="dxa"/>
            <w:tcBorders>
              <w:top w:val="single" w:color="auto" w:sz="6" w:space="0"/>
              <w:left w:val="nil"/>
              <w:bottom w:val="single" w:color="auto" w:sz="6" w:space="0"/>
              <w:right w:val="single" w:color="auto" w:sz="6" w:space="0"/>
            </w:tcBorders>
            <w:vAlign w:val="center"/>
          </w:tcPr>
          <w:p>
            <w:pPr>
              <w:widowControl/>
              <w:tabs>
                <w:tab w:val="left" w:pos="585"/>
              </w:tabs>
              <w:spacing w:line="300" w:lineRule="exact"/>
              <w:jc w:val="center"/>
              <w:rPr>
                <w:rFonts w:ascii="Times New Roman" w:hAnsi="Calibri" w:eastAsia="宋体" w:cs="Times New Roman"/>
                <w:bCs/>
                <w:kern w:val="0"/>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widowControl/>
              <w:tabs>
                <w:tab w:val="left" w:pos="585"/>
              </w:tabs>
              <w:spacing w:line="30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脱贫</w:t>
            </w:r>
            <w:r>
              <w:rPr>
                <w:rFonts w:hint="eastAsia" w:ascii="Times New Roman"/>
                <w:bCs/>
                <w:kern w:val="0"/>
                <w:sz w:val="18"/>
                <w:szCs w:val="18"/>
                <w:lang w:eastAsia="zh-CN"/>
              </w:rPr>
              <w:t>攻坚</w:t>
            </w:r>
          </w:p>
        </w:tc>
        <w:tc>
          <w:tcPr>
            <w:tcW w:w="1723" w:type="dxa"/>
            <w:tcBorders>
              <w:top w:val="single" w:color="auto" w:sz="6" w:space="0"/>
              <w:left w:val="nil"/>
              <w:bottom w:val="single" w:color="auto" w:sz="6" w:space="0"/>
              <w:right w:val="single" w:color="auto" w:sz="6" w:space="0"/>
            </w:tcBorders>
            <w:vAlign w:val="center"/>
          </w:tcPr>
          <w:p>
            <w:pPr>
              <w:widowControl/>
              <w:tabs>
                <w:tab w:val="left" w:pos="585"/>
              </w:tabs>
              <w:spacing w:line="320" w:lineRule="exact"/>
              <w:rPr>
                <w:rFonts w:ascii="Times New Roman" w:hAnsi="Calibri" w:eastAsia="宋体" w:cs="Times New Roman"/>
                <w:bCs/>
                <w:kern w:val="0"/>
                <w:sz w:val="18"/>
                <w:szCs w:val="18"/>
                <w:lang w:val="en-US" w:eastAsia="zh-CN" w:bidi="ar-SA"/>
              </w:rPr>
            </w:pPr>
            <w:r>
              <w:rPr>
                <w:rFonts w:ascii="Times New Roman"/>
                <w:bCs/>
                <w:kern w:val="0"/>
                <w:sz w:val="18"/>
                <w:szCs w:val="18"/>
              </w:rPr>
              <w:t>公开上级及本级政府扶贫相关政策；扶贫项目安排、扶贫资金安排和管理、资产收益等使用情况；贫困人口退出汇总表等信息。</w:t>
            </w:r>
          </w:p>
        </w:tc>
        <w:tc>
          <w:tcPr>
            <w:tcW w:w="1723" w:type="dxa"/>
            <w:tcBorders>
              <w:top w:val="single" w:color="auto" w:sz="6" w:space="0"/>
              <w:left w:val="nil"/>
              <w:bottom w:val="single" w:color="auto" w:sz="6" w:space="0"/>
              <w:right w:val="single" w:color="auto" w:sz="6" w:space="0"/>
            </w:tcBorders>
            <w:vAlign w:val="center"/>
          </w:tcPr>
          <w:p>
            <w:pPr>
              <w:widowControl/>
              <w:spacing w:line="320" w:lineRule="exact"/>
              <w:jc w:val="left"/>
              <w:rPr>
                <w:rFonts w:hint="eastAsia" w:ascii="Times New Roman" w:eastAsia="宋体"/>
                <w:bCs/>
                <w:kern w:val="0"/>
                <w:sz w:val="18"/>
                <w:szCs w:val="18"/>
                <w:lang w:eastAsia="zh-CN"/>
              </w:rPr>
            </w:pPr>
            <w:r>
              <w:rPr>
                <w:rFonts w:ascii="Times New Roman"/>
                <w:bCs/>
                <w:kern w:val="0"/>
                <w:sz w:val="18"/>
                <w:szCs w:val="18"/>
              </w:rPr>
              <w:t>《国务院办公厅关于推进社会公益事业建设领域政府信息公开的意见》（国办发〔2018〕10号）</w:t>
            </w:r>
            <w:r>
              <w:rPr>
                <w:rFonts w:hint="eastAsia" w:ascii="Times New Roman"/>
                <w:bCs/>
                <w:kern w:val="0"/>
                <w:sz w:val="18"/>
                <w:szCs w:val="18"/>
                <w:lang w:eastAsia="zh-CN"/>
              </w:rPr>
              <w:t>。</w:t>
            </w:r>
          </w:p>
          <w:p>
            <w:pPr>
              <w:widowControl/>
              <w:tabs>
                <w:tab w:val="left" w:pos="585"/>
              </w:tabs>
              <w:spacing w:line="320" w:lineRule="exact"/>
              <w:rPr>
                <w:rFonts w:ascii="Times New Roman" w:hAnsi="Calibri" w:eastAsia="宋体" w:cs="Times New Roman"/>
                <w:bCs/>
                <w:kern w:val="0"/>
                <w:sz w:val="18"/>
                <w:szCs w:val="18"/>
                <w:lang w:val="en-US" w:eastAsia="zh-CN" w:bidi="ar-SA"/>
              </w:rPr>
            </w:pPr>
          </w:p>
        </w:tc>
        <w:tc>
          <w:tcPr>
            <w:tcW w:w="768" w:type="dxa"/>
            <w:tcBorders>
              <w:top w:val="single" w:color="auto" w:sz="6" w:space="0"/>
              <w:left w:val="nil"/>
              <w:bottom w:val="single" w:color="auto" w:sz="6" w:space="0"/>
              <w:right w:val="single" w:color="auto" w:sz="6" w:space="0"/>
            </w:tcBorders>
            <w:vAlign w:val="center"/>
          </w:tcPr>
          <w:p>
            <w:pPr>
              <w:widowControl/>
              <w:tabs>
                <w:tab w:val="left" w:pos="585"/>
              </w:tabs>
              <w:spacing w:line="32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7</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widowControl/>
              <w:tabs>
                <w:tab w:val="left" w:pos="585"/>
              </w:tabs>
              <w:spacing w:line="320" w:lineRule="exact"/>
              <w:jc w:val="center"/>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color w:val="000000"/>
                <w:sz w:val="18"/>
                <w:szCs w:val="18"/>
                <w:lang w:eastAsia="zh-CN"/>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7"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sz w:val="18"/>
                <w:szCs w:val="18"/>
                <w:lang w:val="en-US" w:eastAsia="zh-CN"/>
              </w:rPr>
            </w:pPr>
            <w:r>
              <w:rPr>
                <w:rFonts w:hint="eastAsia"/>
                <w:sz w:val="18"/>
                <w:szCs w:val="18"/>
                <w:lang w:val="en-US" w:eastAsia="zh-CN"/>
              </w:rPr>
              <w:t>13</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color w:val="FF0000"/>
                <w:kern w:val="0"/>
                <w:sz w:val="18"/>
                <w:szCs w:val="18"/>
                <w:lang w:val="en-US" w:eastAsia="zh-CN" w:bidi="ar-SA"/>
              </w:rPr>
            </w:pPr>
            <w:r>
              <w:rPr>
                <w:rFonts w:ascii="Times New Roman"/>
                <w:bCs/>
                <w:kern w:val="0"/>
                <w:sz w:val="18"/>
                <w:szCs w:val="18"/>
              </w:rPr>
              <w:t>社会救助</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hAnsi="Calibri" w:eastAsia="宋体" w:cs="Times New Roman"/>
                <w:bCs/>
                <w:kern w:val="0"/>
                <w:sz w:val="18"/>
                <w:szCs w:val="18"/>
                <w:lang w:val="en-US" w:eastAsia="zh-CN" w:bidi="ar-SA"/>
              </w:rPr>
            </w:pPr>
            <w:r>
              <w:rPr>
                <w:rFonts w:hint="eastAsia" w:ascii="Times New Roman"/>
                <w:bCs/>
                <w:kern w:val="0"/>
                <w:sz w:val="18"/>
                <w:szCs w:val="18"/>
                <w:lang w:val="en-US" w:eastAsia="zh-CN"/>
              </w:rPr>
              <w:t>各类</w:t>
            </w:r>
            <w:r>
              <w:rPr>
                <w:rFonts w:ascii="Times New Roman"/>
                <w:bCs/>
                <w:kern w:val="0"/>
                <w:sz w:val="18"/>
                <w:szCs w:val="18"/>
              </w:rPr>
              <w:t>救助办理流程，救助标准，资金物资调拨使用等信息。</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《社会救助暂行办法》（国务院令第649号）；</w:t>
            </w:r>
          </w:p>
          <w:p>
            <w:pPr>
              <w:widowControl/>
              <w:spacing w:line="300" w:lineRule="exact"/>
              <w:rPr>
                <w:rFonts w:ascii="Times New Roman" w:hAnsi="Calibri" w:eastAsia="宋体" w:cs="Times New Roman"/>
                <w:bCs/>
                <w:kern w:val="0"/>
                <w:sz w:val="18"/>
                <w:szCs w:val="18"/>
                <w:lang w:val="en-US" w:eastAsia="zh-CN" w:bidi="ar-SA"/>
              </w:rPr>
            </w:pPr>
            <w:r>
              <w:rPr>
                <w:rFonts w:ascii="Times New Roman"/>
                <w:bCs/>
                <w:kern w:val="0"/>
                <w:sz w:val="18"/>
                <w:szCs w:val="18"/>
              </w:rPr>
              <w:t>《国务院办公厅关于推进社会公益事业建设领域政府信息公开的意见》（国办发〔2018〕10号）。</w:t>
            </w:r>
          </w:p>
        </w:tc>
        <w:tc>
          <w:tcPr>
            <w:tcW w:w="76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7</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bCs/>
                <w:kern w:val="0"/>
                <w:sz w:val="18"/>
                <w:szCs w:val="18"/>
                <w:lang w:eastAsia="zh-CN"/>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color w:val="000000"/>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784"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eastAsia" w:ascii="宋体" w:hAnsi="宋体" w:eastAsia="宋体" w:cs="宋体"/>
                <w:kern w:val="0"/>
                <w:sz w:val="18"/>
                <w:szCs w:val="18"/>
                <w:lang w:val="en-US" w:eastAsia="zh-CN" w:bidi="ar-SA"/>
              </w:rPr>
            </w:pPr>
            <w:r>
              <w:rPr>
                <w:rFonts w:hint="eastAsia"/>
                <w:sz w:val="18"/>
                <w:szCs w:val="18"/>
                <w:lang w:val="en-US" w:eastAsia="zh-CN"/>
              </w:rPr>
              <w:t>14</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color w:val="FF0000"/>
                <w:kern w:val="0"/>
                <w:sz w:val="18"/>
                <w:szCs w:val="18"/>
                <w:lang w:val="en-US" w:eastAsia="zh-CN" w:bidi="ar-SA"/>
              </w:rPr>
            </w:pPr>
            <w:r>
              <w:rPr>
                <w:rFonts w:ascii="Times New Roman"/>
                <w:bCs/>
                <w:kern w:val="0"/>
                <w:sz w:val="18"/>
                <w:szCs w:val="18"/>
              </w:rPr>
              <w:t>社会保障</w:t>
            </w:r>
          </w:p>
        </w:tc>
        <w:tc>
          <w:tcPr>
            <w:tcW w:w="1723" w:type="dxa"/>
            <w:tcBorders>
              <w:top w:val="single" w:color="auto" w:sz="6" w:space="0"/>
              <w:left w:val="nil"/>
              <w:bottom w:val="single" w:color="auto" w:sz="6" w:space="0"/>
              <w:right w:val="single" w:color="auto" w:sz="6" w:space="0"/>
            </w:tcBorders>
            <w:vAlign w:val="center"/>
          </w:tcPr>
          <w:p>
            <w:pPr>
              <w:widowControl/>
              <w:spacing w:line="280" w:lineRule="exact"/>
              <w:rPr>
                <w:rFonts w:hint="eastAsia" w:ascii="Times New Roman" w:hAnsi="Calibri" w:eastAsia="宋体" w:cs="Times New Roman"/>
                <w:bCs/>
                <w:kern w:val="0"/>
                <w:sz w:val="18"/>
                <w:szCs w:val="18"/>
                <w:lang w:val="en-US" w:eastAsia="zh-CN" w:bidi="ar-SA"/>
              </w:rPr>
            </w:pPr>
            <w:r>
              <w:rPr>
                <w:rFonts w:ascii="Times New Roman"/>
                <w:bCs/>
                <w:kern w:val="0"/>
                <w:sz w:val="18"/>
                <w:szCs w:val="18"/>
              </w:rPr>
              <w:t>城乡低保</w:t>
            </w:r>
            <w:r>
              <w:rPr>
                <w:rFonts w:hint="eastAsia" w:ascii="Times New Roman"/>
                <w:bCs/>
                <w:kern w:val="0"/>
                <w:sz w:val="18"/>
                <w:szCs w:val="18"/>
                <w:lang w:eastAsia="zh-CN"/>
              </w:rPr>
              <w:t>、</w:t>
            </w:r>
            <w:r>
              <w:rPr>
                <w:rFonts w:ascii="Times New Roman"/>
                <w:bCs/>
                <w:kern w:val="0"/>
                <w:sz w:val="18"/>
                <w:szCs w:val="18"/>
              </w:rPr>
              <w:t>农村五保</w:t>
            </w:r>
            <w:r>
              <w:rPr>
                <w:rFonts w:hint="eastAsia" w:ascii="Times New Roman"/>
                <w:bCs/>
                <w:kern w:val="0"/>
                <w:sz w:val="18"/>
                <w:szCs w:val="18"/>
                <w:lang w:eastAsia="zh-CN"/>
              </w:rPr>
              <w:t>、</w:t>
            </w:r>
            <w:r>
              <w:rPr>
                <w:rFonts w:ascii="Times New Roman"/>
                <w:bCs/>
                <w:kern w:val="0"/>
                <w:sz w:val="18"/>
                <w:szCs w:val="18"/>
              </w:rPr>
              <w:t>供养孤儿</w:t>
            </w:r>
            <w:r>
              <w:rPr>
                <w:rFonts w:hint="eastAsia" w:ascii="Times New Roman"/>
                <w:bCs/>
                <w:kern w:val="0"/>
                <w:sz w:val="18"/>
                <w:szCs w:val="18"/>
                <w:lang w:eastAsia="zh-CN"/>
              </w:rPr>
              <w:t>、</w:t>
            </w:r>
            <w:r>
              <w:rPr>
                <w:rFonts w:ascii="Times New Roman"/>
                <w:bCs/>
                <w:kern w:val="0"/>
                <w:sz w:val="18"/>
                <w:szCs w:val="18"/>
              </w:rPr>
              <w:t>老年人福利补贴</w:t>
            </w:r>
            <w:r>
              <w:rPr>
                <w:rFonts w:hint="eastAsia" w:ascii="Times New Roman"/>
                <w:bCs/>
                <w:kern w:val="0"/>
                <w:sz w:val="18"/>
                <w:szCs w:val="18"/>
                <w:lang w:eastAsia="zh-CN"/>
              </w:rPr>
              <w:t>、</w:t>
            </w:r>
            <w:r>
              <w:rPr>
                <w:rFonts w:ascii="Times New Roman"/>
                <w:bCs/>
                <w:kern w:val="0"/>
                <w:sz w:val="18"/>
                <w:szCs w:val="18"/>
              </w:rPr>
              <w:t>残疾人福利儿童福利补贴</w:t>
            </w:r>
            <w:r>
              <w:rPr>
                <w:rFonts w:hint="eastAsia" w:ascii="Times New Roman"/>
                <w:bCs/>
                <w:kern w:val="0"/>
                <w:sz w:val="18"/>
                <w:szCs w:val="18"/>
                <w:lang w:eastAsia="zh-CN"/>
              </w:rPr>
              <w:t>等</w:t>
            </w:r>
            <w:r>
              <w:rPr>
                <w:rFonts w:ascii="Times New Roman"/>
                <w:bCs/>
                <w:kern w:val="0"/>
                <w:sz w:val="18"/>
                <w:szCs w:val="18"/>
              </w:rPr>
              <w:t>办理流程、保障标准，发放信息。</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hAnsi="Calibri" w:eastAsia="宋体" w:cs="Times New Roman"/>
                <w:bCs/>
                <w:kern w:val="0"/>
                <w:sz w:val="18"/>
                <w:szCs w:val="18"/>
                <w:lang w:val="en-US" w:eastAsia="zh-CN" w:bidi="ar-SA"/>
              </w:rPr>
            </w:pPr>
            <w:r>
              <w:rPr>
                <w:rFonts w:ascii="Times New Roman"/>
                <w:bCs/>
                <w:kern w:val="0"/>
                <w:sz w:val="18"/>
                <w:szCs w:val="18"/>
              </w:rPr>
              <w:t>《国务院办公厅关于推进社会公益事业建设领域政府信息公开的意见》（国办发〔2018〕10号）</w:t>
            </w:r>
            <w:r>
              <w:rPr>
                <w:rFonts w:hint="eastAsia" w:ascii="Times New Roman"/>
                <w:bCs/>
                <w:kern w:val="0"/>
                <w:sz w:val="18"/>
                <w:szCs w:val="18"/>
                <w:lang w:eastAsia="zh-CN"/>
              </w:rPr>
              <w:t>。</w:t>
            </w:r>
          </w:p>
        </w:tc>
        <w:tc>
          <w:tcPr>
            <w:tcW w:w="76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7</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bCs/>
                <w:kern w:val="0"/>
                <w:sz w:val="18"/>
                <w:szCs w:val="18"/>
                <w:lang w:eastAsia="zh-CN"/>
              </w:rPr>
            </w:pPr>
            <w:r>
              <w:rPr>
                <w:rFonts w:hint="eastAsia" w:ascii="Times New Roman"/>
                <w:bCs/>
                <w:kern w:val="0"/>
                <w:sz w:val="18"/>
                <w:szCs w:val="18"/>
                <w:lang w:eastAsia="zh-CN"/>
              </w:rPr>
              <w:t>经济发展办</w:t>
            </w:r>
          </w:p>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便民服务中心</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color w:val="000000"/>
                <w:kern w:val="0"/>
                <w:sz w:val="18"/>
                <w:szCs w:val="18"/>
                <w:lang w:val="en-US" w:eastAsia="zh-CN" w:bidi="ar-SA"/>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61"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sz w:val="18"/>
                <w:szCs w:val="18"/>
                <w:lang w:val="en-US" w:eastAsia="zh-CN"/>
              </w:rPr>
            </w:pPr>
            <w:r>
              <w:rPr>
                <w:rFonts w:hint="eastAsia"/>
                <w:sz w:val="18"/>
                <w:szCs w:val="18"/>
                <w:lang w:val="en-US" w:eastAsia="zh-CN"/>
              </w:rPr>
              <w:t>15</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bCs/>
                <w:kern w:val="0"/>
                <w:sz w:val="18"/>
                <w:szCs w:val="18"/>
              </w:rPr>
            </w:pPr>
            <w:r>
              <w:rPr>
                <w:rFonts w:ascii="Times New Roman"/>
                <w:bCs/>
                <w:kern w:val="0"/>
                <w:sz w:val="18"/>
                <w:szCs w:val="18"/>
              </w:rPr>
              <w:t>农田水利</w:t>
            </w:r>
          </w:p>
          <w:p>
            <w:pPr>
              <w:widowControl/>
              <w:spacing w:line="300" w:lineRule="exact"/>
              <w:jc w:val="center"/>
              <w:rPr>
                <w:rFonts w:ascii="Times New Roman" w:hAnsi="Calibri" w:eastAsia="宋体" w:cs="Times New Roman"/>
                <w:bCs/>
                <w:color w:val="FF0000"/>
                <w:kern w:val="0"/>
                <w:sz w:val="18"/>
                <w:szCs w:val="18"/>
                <w:lang w:val="en-US" w:eastAsia="zh-CN" w:bidi="ar-SA"/>
              </w:rPr>
            </w:pPr>
            <w:r>
              <w:rPr>
                <w:rFonts w:ascii="Times New Roman"/>
                <w:bCs/>
                <w:kern w:val="0"/>
                <w:sz w:val="18"/>
                <w:szCs w:val="18"/>
              </w:rPr>
              <w:t>工程建设运营</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hAnsi="Calibri" w:eastAsia="宋体" w:cs="Times New Roman"/>
                <w:bCs/>
                <w:kern w:val="0"/>
                <w:sz w:val="18"/>
                <w:szCs w:val="18"/>
                <w:lang w:val="en-US" w:eastAsia="zh-CN" w:bidi="ar-SA"/>
              </w:rPr>
            </w:pPr>
            <w:r>
              <w:rPr>
                <w:rFonts w:ascii="Times New Roman"/>
                <w:bCs/>
                <w:kern w:val="0"/>
                <w:sz w:val="18"/>
                <w:szCs w:val="18"/>
              </w:rPr>
              <w:t>发布农田水利工程建设运营信息。</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hAnsi="Calibri" w:eastAsia="宋体" w:cs="Times New Roman"/>
                <w:bCs/>
                <w:kern w:val="0"/>
                <w:sz w:val="18"/>
                <w:szCs w:val="18"/>
                <w:lang w:val="en-US" w:eastAsia="zh-CN" w:bidi="ar-SA"/>
              </w:rPr>
            </w:pPr>
            <w:r>
              <w:rPr>
                <w:rFonts w:ascii="Times New Roman"/>
                <w:bCs/>
                <w:kern w:val="0"/>
                <w:sz w:val="18"/>
                <w:szCs w:val="18"/>
              </w:rPr>
              <w:t>《中华人民共和国政府信息公开条例》（国务院令第711号）。</w:t>
            </w:r>
          </w:p>
        </w:tc>
        <w:tc>
          <w:tcPr>
            <w:tcW w:w="76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7</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spacing w:line="300" w:lineRule="exact"/>
              <w:jc w:val="center"/>
              <w:rPr>
                <w:rFonts w:hint="eastAsia" w:ascii="Times New Roman"/>
                <w:bCs/>
                <w:kern w:val="0"/>
                <w:sz w:val="18"/>
                <w:szCs w:val="18"/>
                <w:lang w:eastAsia="zh-CN"/>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widowControl w:val="0"/>
              <w:spacing w:before="0" w:beforeAutospacing="0" w:after="0" w:afterAutospacing="0" w:line="260" w:lineRule="exact"/>
              <w:jc w:val="both"/>
              <w:rPr>
                <w:rFonts w:hint="eastAsia"/>
                <w:color w:val="000000"/>
                <w:sz w:val="18"/>
                <w:szCs w:val="18"/>
                <w:lang w:eastAsia="zh-CN"/>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38"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16</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生态环境</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hAnsi="Calibri" w:eastAsia="宋体" w:cs="Times New Roman"/>
                <w:bCs/>
                <w:kern w:val="0"/>
                <w:sz w:val="18"/>
                <w:szCs w:val="18"/>
                <w:lang w:val="en-US" w:eastAsia="zh-CN" w:bidi="ar-SA"/>
              </w:rPr>
            </w:pPr>
            <w:r>
              <w:rPr>
                <w:rFonts w:ascii="Times New Roman"/>
                <w:bCs/>
                <w:kern w:val="0"/>
                <w:sz w:val="18"/>
                <w:szCs w:val="18"/>
              </w:rPr>
              <w:t>河长制、畜禽养殖、改水改厕、</w:t>
            </w:r>
            <w:r>
              <w:rPr>
                <w:rFonts w:hint="eastAsia" w:ascii="Times New Roman"/>
                <w:bCs/>
                <w:kern w:val="0"/>
                <w:sz w:val="18"/>
                <w:szCs w:val="18"/>
                <w:lang w:eastAsia="zh-CN"/>
              </w:rPr>
              <w:t>煤改电、</w:t>
            </w:r>
            <w:r>
              <w:rPr>
                <w:rFonts w:ascii="Times New Roman"/>
                <w:bCs/>
                <w:kern w:val="0"/>
                <w:sz w:val="18"/>
                <w:szCs w:val="18"/>
              </w:rPr>
              <w:t>垃圾治理</w:t>
            </w:r>
            <w:r>
              <w:rPr>
                <w:rFonts w:hint="eastAsia" w:ascii="Times New Roman"/>
                <w:bCs/>
                <w:kern w:val="0"/>
                <w:sz w:val="18"/>
                <w:szCs w:val="18"/>
                <w:lang w:eastAsia="zh-CN"/>
              </w:rPr>
              <w:t>、禁“三烧”</w:t>
            </w:r>
            <w:r>
              <w:rPr>
                <w:rFonts w:ascii="Times New Roman"/>
                <w:bCs/>
                <w:kern w:val="0"/>
                <w:sz w:val="18"/>
                <w:szCs w:val="18"/>
              </w:rPr>
              <w:t>等环境保护领域政策落实、工作推进监督检查等信息。</w:t>
            </w:r>
          </w:p>
        </w:tc>
        <w:tc>
          <w:tcPr>
            <w:tcW w:w="1723" w:type="dxa"/>
            <w:tcBorders>
              <w:top w:val="single" w:color="auto" w:sz="6" w:space="0"/>
              <w:left w:val="nil"/>
              <w:bottom w:val="single" w:color="auto" w:sz="6" w:space="0"/>
              <w:right w:val="single" w:color="auto" w:sz="6" w:space="0"/>
            </w:tcBorders>
            <w:vAlign w:val="center"/>
          </w:tcPr>
          <w:p>
            <w:pPr>
              <w:widowControl/>
              <w:spacing w:line="300" w:lineRule="exact"/>
              <w:rPr>
                <w:rFonts w:ascii="Times New Roman"/>
                <w:bCs/>
                <w:kern w:val="0"/>
                <w:sz w:val="18"/>
                <w:szCs w:val="18"/>
              </w:rPr>
            </w:pPr>
            <w:r>
              <w:rPr>
                <w:rFonts w:ascii="Times New Roman"/>
                <w:bCs/>
                <w:kern w:val="0"/>
                <w:sz w:val="18"/>
                <w:szCs w:val="18"/>
              </w:rPr>
              <w:t>《中华人民共和国环境保护法》（主席令第9号）；</w:t>
            </w:r>
          </w:p>
          <w:p>
            <w:pPr>
              <w:widowControl/>
              <w:spacing w:line="300" w:lineRule="exact"/>
              <w:rPr>
                <w:rFonts w:ascii="Times New Roman" w:hAnsi="Calibri" w:eastAsia="宋体" w:cs="Times New Roman"/>
                <w:bCs/>
                <w:kern w:val="0"/>
                <w:sz w:val="18"/>
                <w:szCs w:val="18"/>
                <w:lang w:val="en-US" w:eastAsia="zh-CN" w:bidi="ar-SA"/>
              </w:rPr>
            </w:pPr>
            <w:r>
              <w:rPr>
                <w:rFonts w:ascii="Times New Roman"/>
                <w:bCs/>
                <w:kern w:val="0"/>
                <w:sz w:val="18"/>
                <w:szCs w:val="18"/>
              </w:rPr>
              <w:t>《中华人民共和国政府信息公开条例》（国务院令第711号）。</w:t>
            </w:r>
          </w:p>
        </w:tc>
        <w:tc>
          <w:tcPr>
            <w:tcW w:w="768"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7</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spacing w:beforeAutospacing="0" w:afterAutospacing="0" w:line="240" w:lineRule="exact"/>
              <w:rPr>
                <w:rFonts w:hint="eastAsia"/>
                <w:color w:val="000000"/>
                <w:sz w:val="18"/>
                <w:szCs w:val="18"/>
                <w:lang w:eastAsia="zh-CN"/>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00" w:lineRule="exact"/>
              <w:rPr>
                <w:rFonts w:ascii="宋体" w:hAnsi="宋体" w:eastAsia="宋体" w:cs="宋体"/>
                <w:kern w:val="0"/>
                <w:sz w:val="18"/>
                <w:szCs w:val="18"/>
                <w:lang w:val="en-US" w:eastAsia="zh-CN" w:bidi="ar-SA"/>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rFonts w:ascii="宋体" w:hAnsi="宋体" w:eastAsia="宋体" w:cs="宋体"/>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63"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eastAsia="宋体"/>
                <w:sz w:val="18"/>
                <w:szCs w:val="18"/>
                <w:lang w:val="en-US" w:eastAsia="zh-CN"/>
              </w:rPr>
            </w:pPr>
            <w:r>
              <w:rPr>
                <w:rFonts w:hint="eastAsia"/>
                <w:sz w:val="18"/>
                <w:szCs w:val="18"/>
                <w:lang w:val="en-US" w:eastAsia="zh-CN"/>
              </w:rPr>
              <w:t>17</w:t>
            </w:r>
          </w:p>
        </w:tc>
        <w:tc>
          <w:tcPr>
            <w:tcW w:w="892" w:type="dxa"/>
            <w:tcBorders>
              <w:top w:val="single" w:color="auto" w:sz="6" w:space="0"/>
              <w:left w:val="nil"/>
              <w:bottom w:val="single" w:color="auto" w:sz="6" w:space="0"/>
              <w:right w:val="single" w:color="auto" w:sz="6" w:space="0"/>
            </w:tcBorders>
            <w:vAlign w:val="center"/>
          </w:tcPr>
          <w:p>
            <w:pPr>
              <w:widowControl/>
              <w:spacing w:line="300" w:lineRule="exact"/>
              <w:jc w:val="center"/>
              <w:rPr>
                <w:rFonts w:ascii="Times New Roman" w:hAnsi="Calibri" w:eastAsia="宋体" w:cs="Times New Roman"/>
                <w:bCs/>
                <w:kern w:val="0"/>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widowControl/>
              <w:spacing w:line="26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公共服务清单</w:t>
            </w:r>
          </w:p>
        </w:tc>
        <w:tc>
          <w:tcPr>
            <w:tcW w:w="1723" w:type="dxa"/>
            <w:tcBorders>
              <w:top w:val="single" w:color="auto" w:sz="6" w:space="0"/>
              <w:left w:val="nil"/>
              <w:bottom w:val="single" w:color="auto" w:sz="6" w:space="0"/>
              <w:right w:val="single" w:color="auto" w:sz="6" w:space="0"/>
            </w:tcBorders>
            <w:vAlign w:val="center"/>
          </w:tcPr>
          <w:p>
            <w:pPr>
              <w:widowControl/>
              <w:spacing w:line="260" w:lineRule="exact"/>
              <w:rPr>
                <w:rFonts w:ascii="Times New Roman" w:hAnsi="Calibri" w:eastAsia="宋体" w:cs="Times New Roman"/>
                <w:bCs/>
                <w:kern w:val="0"/>
                <w:sz w:val="18"/>
                <w:szCs w:val="18"/>
                <w:lang w:val="en-US" w:eastAsia="zh-CN" w:bidi="ar-SA"/>
              </w:rPr>
            </w:pPr>
            <w:r>
              <w:rPr>
                <w:rFonts w:ascii="Times New Roman"/>
                <w:bCs/>
                <w:kern w:val="0"/>
                <w:sz w:val="18"/>
                <w:szCs w:val="18"/>
              </w:rPr>
              <w:t>公开公共服务目录清单，包括提供所有服务事项的名称、内容、办理主体，行使依据，期限，监督渠道等信息。</w:t>
            </w:r>
            <w:r>
              <w:rPr>
                <w:rFonts w:ascii="Times New Roman" w:eastAsia="宋体"/>
                <w:bCs/>
                <w:kern w:val="0"/>
                <w:sz w:val="18"/>
                <w:szCs w:val="18"/>
              </w:rPr>
              <w:t xml:space="preserve"> </w:t>
            </w:r>
          </w:p>
        </w:tc>
        <w:tc>
          <w:tcPr>
            <w:tcW w:w="1723" w:type="dxa"/>
            <w:tcBorders>
              <w:top w:val="single" w:color="auto" w:sz="6" w:space="0"/>
              <w:left w:val="nil"/>
              <w:bottom w:val="single" w:color="auto" w:sz="6" w:space="0"/>
              <w:right w:val="single" w:color="auto" w:sz="6" w:space="0"/>
            </w:tcBorders>
            <w:vAlign w:val="center"/>
          </w:tcPr>
          <w:p>
            <w:pPr>
              <w:widowControl/>
              <w:spacing w:line="260" w:lineRule="exact"/>
              <w:rPr>
                <w:rFonts w:ascii="Times New Roman" w:hAnsi="Calibri" w:eastAsia="宋体" w:cs="Times New Roman"/>
                <w:bCs/>
                <w:kern w:val="0"/>
                <w:sz w:val="18"/>
                <w:szCs w:val="18"/>
                <w:lang w:val="en-US" w:eastAsia="zh-CN" w:bidi="ar-SA"/>
              </w:rPr>
            </w:pPr>
            <w:r>
              <w:rPr>
                <w:rFonts w:ascii="Times New Roman"/>
                <w:bCs/>
                <w:kern w:val="0"/>
                <w:sz w:val="18"/>
                <w:szCs w:val="18"/>
              </w:rPr>
              <w:t>《国务院办公厅关于简化优化公共服务流程方便基层群众办事创业的通知》(国办发〔2015〕86号)。</w:t>
            </w:r>
          </w:p>
        </w:tc>
        <w:tc>
          <w:tcPr>
            <w:tcW w:w="768" w:type="dxa"/>
            <w:tcBorders>
              <w:top w:val="single" w:color="auto" w:sz="6" w:space="0"/>
              <w:left w:val="nil"/>
              <w:bottom w:val="single" w:color="auto" w:sz="6" w:space="0"/>
              <w:right w:val="single" w:color="auto" w:sz="6" w:space="0"/>
            </w:tcBorders>
            <w:vAlign w:val="center"/>
          </w:tcPr>
          <w:p>
            <w:pPr>
              <w:widowControl/>
              <w:spacing w:line="260" w:lineRule="exact"/>
              <w:jc w:val="center"/>
              <w:rPr>
                <w:rFonts w:ascii="Times New Roman" w:hAnsi="Calibri" w:eastAsia="宋体" w:cs="Times New Roman"/>
                <w:bCs/>
                <w:kern w:val="0"/>
                <w:sz w:val="18"/>
                <w:szCs w:val="18"/>
                <w:lang w:val="en-US" w:eastAsia="zh-CN" w:bidi="ar-SA"/>
              </w:rPr>
            </w:pPr>
            <w:r>
              <w:rPr>
                <w:rFonts w:ascii="Times New Roman"/>
                <w:bCs/>
                <w:kern w:val="0"/>
                <w:sz w:val="18"/>
                <w:szCs w:val="18"/>
              </w:rPr>
              <w:t>及时公开。</w:t>
            </w:r>
          </w:p>
        </w:tc>
        <w:tc>
          <w:tcPr>
            <w:tcW w:w="449" w:type="dxa"/>
            <w:tcBorders>
              <w:top w:val="single" w:color="auto" w:sz="6" w:space="0"/>
              <w:left w:val="nil"/>
              <w:bottom w:val="single" w:color="auto" w:sz="6" w:space="0"/>
              <w:right w:val="single" w:color="auto" w:sz="6" w:space="0"/>
            </w:tcBorders>
            <w:vAlign w:val="center"/>
          </w:tcPr>
          <w:p>
            <w:pPr>
              <w:widowControl/>
              <w:spacing w:line="260" w:lineRule="exact"/>
              <w:jc w:val="center"/>
              <w:rPr>
                <w:rFonts w:hint="eastAsia" w:ascii="Times New Roman" w:hAnsi="Calibri" w:eastAsia="宋体" w:cs="Times New Roman"/>
                <w:bCs/>
                <w:kern w:val="0"/>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w:t>
            </w:r>
            <w:r>
              <w:rPr>
                <w:rFonts w:ascii="方正仿宋_GBK" w:hAnsi="方正仿宋_GBK"/>
                <w:color w:val="000000"/>
                <w:sz w:val="18"/>
                <w:szCs w:val="18"/>
              </w:rPr>
              <w:t xml:space="preserve">政府网站 </w:t>
            </w:r>
            <w:r>
              <w:rPr>
                <w:rFonts w:hint="eastAsia" w:ascii="方正仿宋_GBK" w:hAnsi="方正仿宋_GBK"/>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ascii="方正仿宋_GBK" w:hAnsi="方正仿宋_GBK"/>
                <w:color w:val="000000"/>
                <w:sz w:val="18"/>
                <w:szCs w:val="18"/>
              </w:rPr>
            </w:pPr>
            <w:r>
              <w:rPr>
                <w:color w:val="000000"/>
                <w:sz w:val="18"/>
                <w:szCs w:val="18"/>
              </w:rPr>
              <w:t>□</w:t>
            </w:r>
            <w:r>
              <w:rPr>
                <w:rFonts w:ascii="方正仿宋_GBK" w:hAnsi="方正仿宋_GBK"/>
                <w:color w:val="000000"/>
                <w:sz w:val="18"/>
                <w:szCs w:val="18"/>
              </w:rPr>
              <w:t>广播电视</w:t>
            </w:r>
            <w:r>
              <w:rPr>
                <w:rFonts w:hint="eastAsia" w:ascii="方正仿宋_GBK" w:hAnsi="方正仿宋_GBK"/>
                <w:color w:val="000000"/>
                <w:sz w:val="18"/>
                <w:szCs w:val="18"/>
              </w:rPr>
              <w:t xml:space="preserve">  </w:t>
            </w:r>
            <w:r>
              <w:rPr>
                <w:rFonts w:hint="eastAsia"/>
                <w:color w:val="000000"/>
                <w:sz w:val="18"/>
                <w:szCs w:val="18"/>
                <w:lang w:eastAsia="zh-CN"/>
              </w:rPr>
              <w:t>□</w:t>
            </w:r>
            <w:r>
              <w:rPr>
                <w:rFonts w:ascii="方正仿宋_GBK" w:hAnsi="方正仿宋_GBK"/>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rFonts w:hint="eastAsia"/>
                <w:color w:val="000000"/>
                <w:sz w:val="18"/>
                <w:szCs w:val="18"/>
                <w:lang w:eastAsia="zh-CN"/>
              </w:rPr>
              <w:t>□</w:t>
            </w:r>
            <w:r>
              <w:rPr>
                <w:rFonts w:ascii="方正仿宋_GBK" w:hAnsi="方正仿宋_GBK"/>
                <w:color w:val="000000"/>
                <w:sz w:val="18"/>
                <w:szCs w:val="18"/>
              </w:rPr>
              <w:t>政务</w:t>
            </w:r>
            <w:r>
              <w:rPr>
                <w:rFonts w:hint="eastAsia" w:ascii="方正仿宋_GBK" w:hAnsi="方正仿宋_GBK"/>
                <w:color w:val="000000"/>
                <w:sz w:val="18"/>
                <w:szCs w:val="18"/>
              </w:rPr>
              <w:t xml:space="preserve">大厅  </w:t>
            </w:r>
            <w:r>
              <w:rPr>
                <w:rFonts w:hint="eastAsia"/>
                <w:color w:val="000000"/>
                <w:sz w:val="18"/>
                <w:szCs w:val="18"/>
                <w:lang w:eastAsia="zh-CN"/>
              </w:rPr>
              <w:t>□</w:t>
            </w:r>
            <w:r>
              <w:rPr>
                <w:rFonts w:ascii="方正仿宋_GBK" w:hAnsi="方正仿宋_GBK"/>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rFonts w:hint="eastAsia"/>
                <w:color w:val="000000"/>
                <w:sz w:val="18"/>
                <w:szCs w:val="18"/>
                <w:lang w:eastAsia="zh-CN"/>
              </w:rPr>
              <w:t>☑</w:t>
            </w:r>
            <w:r>
              <w:rPr>
                <w:rFonts w:ascii="方正仿宋_GBK" w:hAnsi="方正仿宋_GBK"/>
                <w:color w:val="000000"/>
                <w:sz w:val="18"/>
                <w:szCs w:val="18"/>
              </w:rPr>
              <w:t>便民服务</w:t>
            </w:r>
            <w:r>
              <w:rPr>
                <w:rFonts w:hint="eastAsia" w:ascii="方正仿宋_GBK" w:hAnsi="方正仿宋_GBK"/>
                <w:color w:val="000000"/>
                <w:sz w:val="18"/>
                <w:szCs w:val="18"/>
                <w:lang w:eastAsia="zh-CN"/>
              </w:rPr>
              <w:t>中心</w:t>
            </w:r>
          </w:p>
          <w:p>
            <w:pPr>
              <w:pStyle w:val="2"/>
              <w:widowControl w:val="0"/>
              <w:spacing w:before="0" w:beforeAutospacing="0" w:after="0" w:afterAutospacing="0" w:line="260" w:lineRule="exact"/>
              <w:jc w:val="both"/>
              <w:rPr>
                <w:sz w:val="18"/>
                <w:szCs w:val="18"/>
              </w:rPr>
            </w:pPr>
            <w:r>
              <w:rPr>
                <w:rFonts w:hint="eastAsia"/>
                <w:color w:val="000000"/>
                <w:sz w:val="18"/>
                <w:szCs w:val="18"/>
                <w:lang w:eastAsia="zh-CN"/>
              </w:rPr>
              <w:t>□</w:t>
            </w:r>
            <w:r>
              <w:rPr>
                <w:rFonts w:ascii="方正仿宋_GBK" w:hAnsi="方正仿宋_GBK"/>
                <w:color w:val="000000"/>
                <w:sz w:val="18"/>
                <w:szCs w:val="18"/>
              </w:rPr>
              <w:t>单位公示栏（电子屏）</w:t>
            </w:r>
          </w:p>
          <w:p>
            <w:pPr>
              <w:pStyle w:val="2"/>
              <w:spacing w:beforeAutospacing="0" w:afterAutospacing="0" w:line="240" w:lineRule="exact"/>
              <w:rPr>
                <w:rFonts w:hint="eastAsia"/>
                <w:color w:val="000000"/>
                <w:sz w:val="18"/>
                <w:szCs w:val="18"/>
                <w:lang w:eastAsia="zh-CN"/>
              </w:rPr>
            </w:pPr>
            <w:r>
              <w:rPr>
                <w:rFonts w:hint="eastAsia"/>
                <w:color w:val="000000"/>
                <w:sz w:val="18"/>
                <w:szCs w:val="18"/>
                <w:lang w:eastAsia="zh-CN"/>
              </w:rPr>
              <w:t>□</w:t>
            </w:r>
            <w:r>
              <w:rPr>
                <w:rFonts w:ascii="方正仿宋_GBK" w:hAnsi="方正仿宋_GBK"/>
                <w:color w:val="000000"/>
                <w:sz w:val="18"/>
                <w:szCs w:val="18"/>
              </w:rPr>
              <w:t xml:space="preserve">精准推送   </w:t>
            </w:r>
            <w:r>
              <w:rPr>
                <w:color w:val="000000"/>
                <w:sz w:val="18"/>
                <w:szCs w:val="18"/>
              </w:rPr>
              <w:t>□</w:t>
            </w:r>
            <w:r>
              <w:rPr>
                <w:rFonts w:ascii="方正仿宋_GBK" w:hAnsi="方正仿宋_GBK"/>
                <w:color w:val="000000"/>
                <w:sz w:val="18"/>
                <w:szCs w:val="18"/>
              </w:rPr>
              <w:t>其他</w:t>
            </w:r>
          </w:p>
        </w:tc>
        <w:tc>
          <w:tcPr>
            <w:tcW w:w="87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870" w:type="dxa"/>
            <w:tcBorders>
              <w:top w:val="single" w:color="auto" w:sz="6" w:space="0"/>
              <w:left w:val="nil"/>
              <w:bottom w:val="single" w:color="auto" w:sz="6" w:space="0"/>
              <w:right w:val="single" w:color="auto" w:sz="6" w:space="0"/>
            </w:tcBorders>
            <w:vAlign w:val="center"/>
          </w:tcPr>
          <w:p>
            <w:pPr>
              <w:spacing w:line="200" w:lineRule="exact"/>
              <w:jc w:val="center"/>
              <w:rPr>
                <w:rFonts w:ascii="Calibri" w:hAnsi="Calibri" w:eastAsia="宋体" w:cs="Times New Roman"/>
                <w:kern w:val="2"/>
                <w:sz w:val="18"/>
                <w:szCs w:val="18"/>
                <w:lang w:val="en-US" w:eastAsia="zh-CN" w:bidi="ar-SA"/>
              </w:rPr>
            </w:pPr>
          </w:p>
        </w:tc>
        <w:tc>
          <w:tcPr>
            <w:tcW w:w="730"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方正仿宋_GBK" w:hAnsi="方正仿宋_GBK" w:eastAsia="宋体" w:cs="宋体"/>
                <w:kern w:val="0"/>
                <w:sz w:val="18"/>
                <w:szCs w:val="18"/>
                <w:lang w:val="en-US" w:eastAsia="zh-CN" w:bidi="ar-SA"/>
              </w:rPr>
            </w:pPr>
            <w:r>
              <w:rPr>
                <w:rFonts w:hint="eastAsia"/>
                <w:sz w:val="18"/>
                <w:szCs w:val="18"/>
              </w:rPr>
              <w:t>√</w:t>
            </w:r>
          </w:p>
        </w:tc>
        <w:tc>
          <w:tcPr>
            <w:tcW w:w="698"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ascii="宋体" w:hAnsi="宋体" w:eastAsia="宋体" w:cs="宋体"/>
                <w:kern w:val="0"/>
                <w:sz w:val="18"/>
                <w:szCs w:val="18"/>
                <w:lang w:val="en-US" w:eastAsia="zh-CN" w:bidi="ar-SA"/>
              </w:rPr>
            </w:pPr>
          </w:p>
        </w:tc>
        <w:tc>
          <w:tcPr>
            <w:tcW w:w="352"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p>
        </w:tc>
        <w:tc>
          <w:tcPr>
            <w:tcW w:w="351" w:type="dxa"/>
            <w:tcBorders>
              <w:top w:val="single" w:color="auto" w:sz="6" w:space="0"/>
              <w:left w:val="nil"/>
              <w:bottom w:val="single" w:color="auto" w:sz="6" w:space="0"/>
              <w:right w:val="single" w:color="auto" w:sz="6" w:space="0"/>
            </w:tcBorders>
            <w:vAlign w:val="center"/>
          </w:tcPr>
          <w:p>
            <w:pPr>
              <w:pStyle w:val="2"/>
              <w:spacing w:beforeAutospacing="0" w:afterAutospacing="0" w:line="200" w:lineRule="exact"/>
              <w:jc w:val="center"/>
              <w:rPr>
                <w:rFonts w:hint="eastAsia" w:ascii="宋体" w:hAnsi="宋体" w:eastAsia="宋体" w:cs="宋体"/>
                <w:kern w:val="0"/>
                <w:sz w:val="18"/>
                <w:szCs w:val="18"/>
                <w:lang w:val="en-US" w:eastAsia="zh-CN" w:bidi="ar-SA"/>
              </w:rPr>
            </w:pPr>
            <w:r>
              <w:rPr>
                <w:rFonts w:hint="eastAsia"/>
                <w:sz w:val="18"/>
                <w:szCs w:val="18"/>
              </w:rPr>
              <w:t>√</w:t>
            </w:r>
          </w:p>
        </w:tc>
        <w:tc>
          <w:tcPr>
            <w:tcW w:w="358" w:type="dxa"/>
            <w:tcBorders>
              <w:top w:val="single" w:color="auto" w:sz="6" w:space="0"/>
              <w:left w:val="nil"/>
              <w:bottom w:val="single" w:color="auto" w:sz="6" w:space="0"/>
              <w:right w:val="single" w:color="auto" w:sz="6" w:space="0"/>
            </w:tcBorders>
            <w:vAlign w:val="top"/>
          </w:tcPr>
          <w:p>
            <w:pPr>
              <w:pStyle w:val="2"/>
              <w:spacing w:beforeAutospacing="0" w:afterAutospacing="0" w:line="240" w:lineRule="exact"/>
              <w:rPr>
                <w:sz w:val="18"/>
                <w:szCs w:val="18"/>
              </w:rPr>
            </w:pP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pStyle w:val="2"/>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63"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sz w:val="18"/>
                <w:szCs w:val="18"/>
                <w:lang w:val="en-US" w:eastAsia="zh-CN"/>
              </w:rPr>
            </w:pPr>
            <w:r>
              <w:rPr>
                <w:rFonts w:hint="eastAsia"/>
                <w:sz w:val="18"/>
                <w:szCs w:val="18"/>
                <w:lang w:val="en-US" w:eastAsia="zh-CN"/>
              </w:rPr>
              <w:t>18</w:t>
            </w:r>
          </w:p>
        </w:tc>
        <w:tc>
          <w:tcPr>
            <w:tcW w:w="892"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spacing w:line="240" w:lineRule="exact"/>
              <w:jc w:val="center"/>
              <w:rPr>
                <w:rFonts w:ascii="宋体" w:hAnsi="宋体" w:eastAsia="宋体" w:cs="Arial Unicode MS"/>
                <w:color w:val="000000"/>
                <w:kern w:val="2"/>
                <w:sz w:val="18"/>
                <w:szCs w:val="18"/>
                <w:lang w:val="en-US" w:eastAsia="zh-CN" w:bidi="ar-SA"/>
              </w:rPr>
            </w:pPr>
            <w:r>
              <w:rPr>
                <w:rFonts w:hint="eastAsia" w:ascii="宋体" w:hAnsi="宋体" w:cs="Arial Unicode MS"/>
                <w:color w:val="000000"/>
                <w:sz w:val="18"/>
                <w:szCs w:val="18"/>
              </w:rPr>
              <w:t>养老服务业务办理</w:t>
            </w:r>
          </w:p>
        </w:tc>
        <w:tc>
          <w:tcPr>
            <w:tcW w:w="1723" w:type="dxa"/>
            <w:tcBorders>
              <w:top w:val="single" w:color="auto" w:sz="6" w:space="0"/>
              <w:left w:val="nil"/>
              <w:bottom w:val="single" w:color="auto" w:sz="6" w:space="0"/>
              <w:right w:val="single" w:color="auto" w:sz="6" w:space="0"/>
            </w:tcBorders>
            <w:vAlign w:val="center"/>
          </w:tcPr>
          <w:p>
            <w:pPr>
              <w:spacing w:line="240" w:lineRule="exact"/>
              <w:jc w:val="center"/>
              <w:rPr>
                <w:rFonts w:ascii="宋体" w:hAnsi="宋体" w:eastAsia="宋体" w:cs="宋体"/>
                <w:color w:val="000000"/>
                <w:kern w:val="2"/>
                <w:sz w:val="18"/>
                <w:szCs w:val="18"/>
                <w:lang w:val="en-US" w:eastAsia="zh-CN" w:bidi="ar-SA"/>
              </w:rPr>
            </w:pPr>
            <w:r>
              <w:rPr>
                <w:rFonts w:hint="eastAsia" w:ascii="宋体" w:hAnsi="宋体"/>
                <w:color w:val="000000"/>
                <w:sz w:val="18"/>
                <w:szCs w:val="18"/>
              </w:rPr>
              <w:t>老年</w:t>
            </w:r>
            <w:r>
              <w:rPr>
                <w:rFonts w:hint="eastAsia" w:ascii="宋体" w:hAnsi="宋体"/>
                <w:color w:val="000000"/>
                <w:spacing w:val="-6"/>
                <w:sz w:val="18"/>
                <w:szCs w:val="18"/>
              </w:rPr>
              <w:t>人补贴名称（高龄津贴、养老服务补贴、护理补贴等）</w:t>
            </w:r>
            <w:r>
              <w:rPr>
                <w:rFonts w:hint="eastAsia" w:ascii="宋体" w:hAnsi="宋体"/>
                <w:color w:val="000000"/>
                <w:spacing w:val="-6"/>
                <w:sz w:val="18"/>
                <w:szCs w:val="18"/>
                <w:lang w:eastAsia="zh-CN"/>
              </w:rPr>
              <w:t>、</w:t>
            </w:r>
            <w:r>
              <w:rPr>
                <w:rFonts w:hint="eastAsia" w:ascii="宋体" w:hAnsi="宋体"/>
                <w:color w:val="000000"/>
                <w:spacing w:val="-6"/>
                <w:sz w:val="18"/>
                <w:szCs w:val="18"/>
              </w:rPr>
              <w:t>补贴依据</w:t>
            </w:r>
            <w:r>
              <w:rPr>
                <w:rFonts w:hint="eastAsia" w:ascii="宋体" w:hAnsi="宋体"/>
                <w:color w:val="000000"/>
                <w:spacing w:val="-6"/>
                <w:sz w:val="18"/>
                <w:szCs w:val="18"/>
                <w:lang w:eastAsia="zh-CN"/>
              </w:rPr>
              <w:t>、</w:t>
            </w:r>
            <w:r>
              <w:rPr>
                <w:rFonts w:hint="eastAsia" w:ascii="宋体" w:hAnsi="宋体"/>
                <w:color w:val="000000"/>
                <w:spacing w:val="-6"/>
                <w:sz w:val="18"/>
                <w:szCs w:val="18"/>
              </w:rPr>
              <w:t>补贴对象</w:t>
            </w:r>
            <w:r>
              <w:rPr>
                <w:rFonts w:hint="eastAsia" w:ascii="宋体" w:hAnsi="宋体"/>
                <w:color w:val="000000"/>
                <w:spacing w:val="-6"/>
                <w:sz w:val="18"/>
                <w:szCs w:val="18"/>
                <w:lang w:eastAsia="zh-CN"/>
              </w:rPr>
              <w:t>、</w:t>
            </w:r>
            <w:r>
              <w:rPr>
                <w:rFonts w:hint="eastAsia" w:ascii="宋体" w:hAnsi="宋体"/>
                <w:color w:val="000000"/>
                <w:spacing w:val="-6"/>
                <w:sz w:val="18"/>
                <w:szCs w:val="18"/>
              </w:rPr>
              <w:t>补贴内容和标准</w:t>
            </w:r>
            <w:r>
              <w:rPr>
                <w:rFonts w:hint="eastAsia" w:ascii="宋体" w:hAnsi="宋体"/>
                <w:color w:val="000000"/>
                <w:spacing w:val="-6"/>
                <w:sz w:val="18"/>
                <w:szCs w:val="18"/>
                <w:lang w:eastAsia="zh-CN"/>
              </w:rPr>
              <w:t>、</w:t>
            </w:r>
            <w:r>
              <w:rPr>
                <w:rFonts w:hint="eastAsia" w:ascii="宋体" w:hAnsi="宋体"/>
                <w:color w:val="000000"/>
                <w:spacing w:val="-6"/>
                <w:sz w:val="18"/>
                <w:szCs w:val="18"/>
              </w:rPr>
              <w:t>补贴方式</w:t>
            </w:r>
            <w:r>
              <w:rPr>
                <w:rFonts w:hint="eastAsia" w:ascii="宋体" w:hAnsi="宋体"/>
                <w:color w:val="000000"/>
                <w:spacing w:val="-6"/>
                <w:sz w:val="18"/>
                <w:szCs w:val="18"/>
                <w:lang w:eastAsia="zh-CN"/>
              </w:rPr>
              <w:t>、</w:t>
            </w:r>
            <w:r>
              <w:rPr>
                <w:rFonts w:hint="eastAsia" w:ascii="宋体" w:hAnsi="宋体"/>
                <w:color w:val="000000"/>
                <w:spacing w:val="-6"/>
                <w:sz w:val="18"/>
                <w:szCs w:val="18"/>
              </w:rPr>
              <w:t>补贴申请材料清单及格式</w:t>
            </w:r>
            <w:r>
              <w:rPr>
                <w:rFonts w:hint="eastAsia" w:ascii="宋体" w:hAnsi="宋体"/>
                <w:color w:val="000000"/>
                <w:spacing w:val="-6"/>
                <w:sz w:val="18"/>
                <w:szCs w:val="18"/>
                <w:lang w:eastAsia="zh-CN"/>
              </w:rPr>
              <w:t>；</w:t>
            </w:r>
            <w:r>
              <w:rPr>
                <w:rFonts w:hint="eastAsia" w:ascii="宋体" w:hAnsi="宋体"/>
                <w:color w:val="000000"/>
                <w:spacing w:val="-6"/>
                <w:sz w:val="18"/>
                <w:szCs w:val="18"/>
              </w:rPr>
              <w:t>办理流程、办理部门、办理时限、办理时间、地点、咨询电话</w:t>
            </w:r>
          </w:p>
        </w:tc>
        <w:tc>
          <w:tcPr>
            <w:tcW w:w="1723" w:type="dxa"/>
            <w:tcBorders>
              <w:top w:val="single" w:color="auto" w:sz="6" w:space="0"/>
              <w:left w:val="nil"/>
              <w:bottom w:val="single" w:color="auto" w:sz="6" w:space="0"/>
              <w:right w:val="single" w:color="auto" w:sz="6" w:space="0"/>
            </w:tcBorders>
            <w:vAlign w:val="center"/>
          </w:tcPr>
          <w:p>
            <w:pPr>
              <w:spacing w:line="240" w:lineRule="exact"/>
              <w:jc w:val="center"/>
              <w:rPr>
                <w:rFonts w:ascii="宋体" w:hAnsi="宋体" w:eastAsia="宋体" w:cs="Arial Unicode MS"/>
                <w:color w:val="000000"/>
                <w:kern w:val="2"/>
                <w:sz w:val="18"/>
                <w:szCs w:val="18"/>
                <w:lang w:val="en-US" w:eastAsia="zh-CN" w:bidi="ar-SA"/>
              </w:rPr>
            </w:pPr>
            <w:r>
              <w:rPr>
                <w:rFonts w:ascii="Times New Roman"/>
                <w:bCs/>
                <w:kern w:val="0"/>
                <w:sz w:val="18"/>
                <w:szCs w:val="18"/>
              </w:rPr>
              <w:t>《中华人民共和国政府信息公开条例》（国务院令第711号）。</w:t>
            </w:r>
          </w:p>
        </w:tc>
        <w:tc>
          <w:tcPr>
            <w:tcW w:w="768" w:type="dxa"/>
            <w:tcBorders>
              <w:top w:val="single" w:color="auto" w:sz="6" w:space="0"/>
              <w:left w:val="nil"/>
              <w:bottom w:val="single" w:color="auto" w:sz="6" w:space="0"/>
              <w:right w:val="single" w:color="auto" w:sz="6" w:space="0"/>
            </w:tcBorders>
            <w:vAlign w:val="center"/>
          </w:tcPr>
          <w:p>
            <w:pPr>
              <w:spacing w:line="240" w:lineRule="exact"/>
              <w:jc w:val="center"/>
              <w:rPr>
                <w:rFonts w:ascii="宋体" w:hAnsi="宋体" w:eastAsia="宋体" w:cs="Arial Unicode MS"/>
                <w:color w:val="000000"/>
                <w:kern w:val="2"/>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10</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 xml:space="preserve">□政府网站 </w:t>
            </w:r>
            <w:r>
              <w:rPr>
                <w:rFonts w:hint="eastAsia"/>
                <w:color w:val="000000"/>
                <w:sz w:val="18"/>
                <w:szCs w:val="18"/>
              </w:rPr>
              <w:t xml:space="preserve"> </w:t>
            </w:r>
            <w:r>
              <w:rPr>
                <w:color w:val="000000"/>
                <w:sz w:val="18"/>
                <w:szCs w:val="18"/>
              </w:rPr>
              <w:t>□</w:t>
            </w:r>
            <w:r>
              <w:rPr>
                <w:rFonts w:hint="eastAsia"/>
                <w:color w:val="000000"/>
                <w:sz w:val="18"/>
                <w:szCs w:val="18"/>
              </w:rPr>
              <w:t>政务新媒体</w:t>
            </w:r>
          </w:p>
          <w:p>
            <w:pPr>
              <w:pStyle w:val="2"/>
              <w:widowControl w:val="0"/>
              <w:spacing w:before="0" w:beforeAutospacing="0" w:after="0" w:afterAutospacing="0" w:line="260" w:lineRule="exact"/>
              <w:jc w:val="both"/>
              <w:rPr>
                <w:rFonts w:hint="eastAsia"/>
                <w:color w:val="000000"/>
                <w:sz w:val="18"/>
                <w:szCs w:val="18"/>
              </w:rPr>
            </w:pPr>
            <w:r>
              <w:rPr>
                <w:color w:val="000000"/>
                <w:sz w:val="18"/>
                <w:szCs w:val="18"/>
              </w:rPr>
              <w:t>□广播电视</w:t>
            </w:r>
            <w:r>
              <w:rPr>
                <w:rFonts w:hint="eastAsia"/>
                <w:color w:val="000000"/>
                <w:sz w:val="18"/>
                <w:szCs w:val="18"/>
              </w:rPr>
              <w:t xml:space="preserve">  </w:t>
            </w:r>
            <w:r>
              <w:rPr>
                <w:color w:val="000000"/>
                <w:sz w:val="18"/>
                <w:szCs w:val="18"/>
              </w:rPr>
              <w:t>□纸质媒体</w:t>
            </w:r>
          </w:p>
          <w:p>
            <w:pPr>
              <w:pStyle w:val="2"/>
              <w:widowControl w:val="0"/>
              <w:spacing w:before="0" w:beforeAutospacing="0" w:after="0" w:afterAutospacing="0" w:line="260" w:lineRule="exact"/>
              <w:jc w:val="both"/>
              <w:rPr>
                <w:rFonts w:hint="eastAsia"/>
                <w:sz w:val="18"/>
                <w:szCs w:val="18"/>
              </w:rPr>
            </w:pPr>
            <w:r>
              <w:rPr>
                <w:color w:val="000000"/>
                <w:sz w:val="18"/>
                <w:szCs w:val="18"/>
              </w:rPr>
              <w:t>□政务</w:t>
            </w:r>
            <w:r>
              <w:rPr>
                <w:rFonts w:hint="eastAsia"/>
                <w:color w:val="000000"/>
                <w:sz w:val="18"/>
                <w:szCs w:val="18"/>
              </w:rPr>
              <w:t xml:space="preserve">大厅  </w:t>
            </w:r>
            <w:r>
              <w:rPr>
                <w:color w:val="000000"/>
                <w:sz w:val="18"/>
                <w:szCs w:val="18"/>
              </w:rPr>
              <w:t>□公开查阅点</w:t>
            </w:r>
          </w:p>
          <w:p>
            <w:pPr>
              <w:pStyle w:val="2"/>
              <w:widowControl w:val="0"/>
              <w:spacing w:before="0" w:beforeAutospacing="0" w:after="0" w:afterAutospacing="0" w:line="260" w:lineRule="exact"/>
              <w:jc w:val="both"/>
              <w:rPr>
                <w:rFonts w:hint="eastAsia" w:eastAsia="宋体"/>
                <w:sz w:val="18"/>
                <w:szCs w:val="18"/>
                <w:lang w:eastAsia="zh-CN"/>
              </w:rPr>
            </w:pPr>
            <w:r>
              <w:rPr>
                <w:color w:val="000000"/>
                <w:sz w:val="18"/>
                <w:szCs w:val="18"/>
              </w:rPr>
              <w:sym w:font="Wingdings" w:char="F0FE"/>
            </w:r>
            <w:r>
              <w:rPr>
                <w:color w:val="000000"/>
                <w:sz w:val="18"/>
                <w:szCs w:val="18"/>
              </w:rPr>
              <w:t>便民服务</w:t>
            </w:r>
            <w:r>
              <w:rPr>
                <w:rFonts w:hint="eastAsia"/>
                <w:color w:val="000000"/>
                <w:sz w:val="18"/>
                <w:szCs w:val="18"/>
                <w:lang w:eastAsia="zh-CN"/>
              </w:rPr>
              <w:t>中心</w:t>
            </w:r>
          </w:p>
          <w:p>
            <w:pPr>
              <w:pStyle w:val="2"/>
              <w:widowControl w:val="0"/>
              <w:spacing w:before="0" w:beforeAutospacing="0" w:after="0" w:afterAutospacing="0" w:line="260" w:lineRule="exact"/>
              <w:jc w:val="both"/>
              <w:rPr>
                <w:sz w:val="18"/>
                <w:szCs w:val="18"/>
              </w:rPr>
            </w:pPr>
            <w:r>
              <w:rPr>
                <w:color w:val="000000"/>
                <w:sz w:val="18"/>
                <w:szCs w:val="18"/>
              </w:rPr>
              <w:sym w:font="Wingdings" w:char="F0FE"/>
            </w:r>
            <w:r>
              <w:rPr>
                <w:color w:val="000000"/>
                <w:sz w:val="18"/>
                <w:szCs w:val="18"/>
              </w:rPr>
              <w:t>单位公示栏（电子屏）</w:t>
            </w:r>
          </w:p>
          <w:p>
            <w:pPr>
              <w:pStyle w:val="2"/>
              <w:widowControl w:val="0"/>
              <w:spacing w:before="0" w:beforeAutospacing="0" w:after="0" w:afterAutospacing="0" w:line="260" w:lineRule="exact"/>
              <w:jc w:val="both"/>
              <w:rPr>
                <w:rFonts w:hint="eastAsia" w:ascii="宋体" w:hAnsi="宋体" w:eastAsia="宋体" w:cs="宋体"/>
                <w:kern w:val="0"/>
                <w:sz w:val="18"/>
                <w:szCs w:val="18"/>
                <w:lang w:val="en-US" w:eastAsia="zh-CN" w:bidi="ar-SA"/>
              </w:rPr>
            </w:pPr>
            <w:r>
              <w:rPr>
                <w:color w:val="000000"/>
                <w:sz w:val="18"/>
                <w:szCs w:val="18"/>
              </w:rPr>
              <w:t>□精准推送   □其他</w:t>
            </w:r>
          </w:p>
        </w:tc>
        <w:tc>
          <w:tcPr>
            <w:tcW w:w="870"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870" w:type="dxa"/>
            <w:tcBorders>
              <w:top w:val="single" w:color="auto" w:sz="6" w:space="0"/>
              <w:left w:val="nil"/>
              <w:bottom w:val="single" w:color="auto" w:sz="6" w:space="0"/>
              <w:right w:val="single" w:color="auto" w:sz="6" w:space="0"/>
            </w:tcBorders>
            <w:vAlign w:val="center"/>
          </w:tcPr>
          <w:p>
            <w:pPr>
              <w:jc w:val="cente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730"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698" w:type="dxa"/>
            <w:tcBorders>
              <w:top w:val="single" w:color="auto" w:sz="6" w:space="0"/>
              <w:left w:val="nil"/>
              <w:bottom w:val="single" w:color="auto" w:sz="6" w:space="0"/>
              <w:right w:val="single" w:color="auto" w:sz="6" w:space="0"/>
            </w:tcBorders>
            <w:vAlign w:val="center"/>
          </w:tcPr>
          <w:p>
            <w:pPr>
              <w:jc w:val="center"/>
              <w:rPr>
                <w:rFonts w:ascii="宋体" w:hAnsi="宋体" w:eastAsia="宋体" w:cs="宋体"/>
                <w:color w:val="000000"/>
                <w:kern w:val="2"/>
                <w:sz w:val="18"/>
                <w:szCs w:val="18"/>
                <w:lang w:val="en-US" w:eastAsia="zh-CN" w:bidi="ar-SA"/>
              </w:rPr>
            </w:pPr>
            <w:r>
              <w:rPr>
                <w:rFonts w:hint="eastAsia" w:ascii="宋体" w:hAnsi="宋体"/>
                <w:color w:val="000000"/>
                <w:sz w:val="18"/>
                <w:szCs w:val="18"/>
              </w:rPr>
              <w:t>　</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rPr>
                <w:rFonts w:hint="eastAsia"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351" w:type="dxa"/>
            <w:tcBorders>
              <w:top w:val="single" w:color="auto" w:sz="6" w:space="0"/>
              <w:left w:val="nil"/>
              <w:bottom w:val="single" w:color="auto" w:sz="6" w:space="0"/>
              <w:right w:val="single" w:color="auto" w:sz="6" w:space="0"/>
            </w:tcBorders>
            <w:vAlign w:val="center"/>
          </w:tcPr>
          <w:p>
            <w:pP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352" w:type="dxa"/>
            <w:tcBorders>
              <w:top w:val="single" w:color="auto" w:sz="6" w:space="0"/>
              <w:left w:val="nil"/>
              <w:bottom w:val="single" w:color="auto" w:sz="6" w:space="0"/>
              <w:right w:val="single" w:color="auto" w:sz="6" w:space="0"/>
            </w:tcBorders>
            <w:vAlign w:val="center"/>
          </w:tcPr>
          <w:p>
            <w:pPr>
              <w:rPr>
                <w:rFonts w:hint="eastAsia"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351"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358" w:type="dxa"/>
            <w:tcBorders>
              <w:top w:val="single" w:color="auto" w:sz="6" w:space="0"/>
              <w:left w:val="nil"/>
              <w:bottom w:val="single" w:color="auto" w:sz="6" w:space="0"/>
              <w:right w:val="single" w:color="auto" w:sz="6" w:space="0"/>
            </w:tcBorders>
            <w:vAlign w:val="center"/>
          </w:tcPr>
          <w:p>
            <w:pP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63" w:hRule="atLeast"/>
        </w:trPr>
        <w:tc>
          <w:tcPr>
            <w:tcW w:w="548" w:type="dxa"/>
            <w:tcBorders>
              <w:top w:val="single" w:color="auto" w:sz="6" w:space="0"/>
              <w:left w:val="single" w:color="auto" w:sz="6" w:space="0"/>
              <w:bottom w:val="single" w:color="auto" w:sz="6" w:space="0"/>
              <w:right w:val="single" w:color="auto" w:sz="6" w:space="0"/>
            </w:tcBorders>
            <w:vAlign w:val="center"/>
          </w:tcPr>
          <w:p>
            <w:pPr>
              <w:pStyle w:val="2"/>
              <w:spacing w:beforeAutospacing="0" w:afterAutospacing="0" w:line="240" w:lineRule="exact"/>
              <w:jc w:val="center"/>
              <w:rPr>
                <w:rFonts w:hint="default"/>
                <w:sz w:val="18"/>
                <w:szCs w:val="18"/>
                <w:lang w:val="en-US" w:eastAsia="zh-CN"/>
              </w:rPr>
            </w:pPr>
            <w:r>
              <w:rPr>
                <w:rFonts w:hint="eastAsia"/>
                <w:sz w:val="18"/>
                <w:szCs w:val="18"/>
                <w:lang w:val="en-US" w:eastAsia="zh-CN"/>
              </w:rPr>
              <w:t>19</w:t>
            </w:r>
          </w:p>
        </w:tc>
        <w:tc>
          <w:tcPr>
            <w:tcW w:w="892"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公共服务事项</w:t>
            </w:r>
          </w:p>
        </w:tc>
        <w:tc>
          <w:tcPr>
            <w:tcW w:w="1028"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惠农政策</w:t>
            </w:r>
          </w:p>
        </w:tc>
        <w:tc>
          <w:tcPr>
            <w:tcW w:w="1723"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农村地力保护补贴、退耕还林等惠农政策</w:t>
            </w:r>
          </w:p>
        </w:tc>
        <w:tc>
          <w:tcPr>
            <w:tcW w:w="1723"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ascii="Times New Roman"/>
                <w:bCs/>
                <w:kern w:val="0"/>
                <w:sz w:val="18"/>
                <w:szCs w:val="18"/>
              </w:rPr>
              <w:t>《中华人民共和国政府信息公开条例》（国务院令第711号）。</w:t>
            </w:r>
          </w:p>
        </w:tc>
        <w:tc>
          <w:tcPr>
            <w:tcW w:w="768"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ascii="Times New Roman"/>
                <w:bCs/>
                <w:kern w:val="0"/>
                <w:sz w:val="18"/>
                <w:szCs w:val="18"/>
              </w:rPr>
              <w:t>自该信息形成或者变更之日起</w:t>
            </w:r>
            <w:r>
              <w:rPr>
                <w:rFonts w:hint="eastAsia" w:ascii="Times New Roman"/>
                <w:bCs/>
                <w:kern w:val="0"/>
                <w:sz w:val="18"/>
                <w:szCs w:val="18"/>
                <w:lang w:val="en-US" w:eastAsia="zh-CN"/>
              </w:rPr>
              <w:t>7</w:t>
            </w:r>
            <w:r>
              <w:rPr>
                <w:rFonts w:ascii="Times New Roman"/>
                <w:bCs/>
                <w:kern w:val="0"/>
                <w:sz w:val="18"/>
                <w:szCs w:val="18"/>
              </w:rPr>
              <w:t>个工作日内</w:t>
            </w:r>
          </w:p>
        </w:tc>
        <w:tc>
          <w:tcPr>
            <w:tcW w:w="449"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ascii="宋体" w:hAnsi="宋体" w:eastAsia="宋体" w:cs="宋体"/>
                <w:color w:val="000000"/>
                <w:kern w:val="2"/>
                <w:sz w:val="18"/>
                <w:szCs w:val="18"/>
                <w:lang w:val="en-US" w:eastAsia="zh-CN" w:bidi="ar-SA"/>
              </w:rPr>
            </w:pPr>
            <w:r>
              <w:rPr>
                <w:rFonts w:hint="eastAsia" w:ascii="Times New Roman"/>
                <w:bCs/>
                <w:kern w:val="0"/>
                <w:sz w:val="18"/>
                <w:szCs w:val="18"/>
                <w:lang w:eastAsia="zh-CN"/>
              </w:rPr>
              <w:t>郭家庄镇人民政府</w:t>
            </w:r>
          </w:p>
        </w:tc>
        <w:tc>
          <w:tcPr>
            <w:tcW w:w="2245" w:type="dxa"/>
            <w:tcBorders>
              <w:top w:val="single" w:color="auto" w:sz="6" w:space="0"/>
              <w:left w:val="nil"/>
              <w:bottom w:val="single" w:color="auto" w:sz="6" w:space="0"/>
              <w:right w:val="single" w:color="auto" w:sz="6" w:space="0"/>
            </w:tcBorders>
            <w:vAlign w:val="center"/>
          </w:tcPr>
          <w:p>
            <w:pPr>
              <w:pStyle w:val="2"/>
              <w:widowControl w:val="0"/>
              <w:spacing w:before="0" w:beforeAutospacing="0" w:after="0" w:afterAutospacing="0" w:line="240" w:lineRule="exact"/>
              <w:jc w:val="both"/>
              <w:rPr>
                <w:rFonts w:hint="eastAsia"/>
                <w:color w:val="000000"/>
                <w:sz w:val="18"/>
                <w:szCs w:val="18"/>
              </w:rPr>
            </w:pPr>
            <w:r>
              <w:rPr>
                <w:color w:val="000000"/>
                <w:sz w:val="18"/>
                <w:szCs w:val="18"/>
              </w:rPr>
              <w:t xml:space="preserve">□政府网站 </w:t>
            </w:r>
            <w:r>
              <w:rPr>
                <w:rFonts w:hint="eastAsia"/>
                <w:color w:val="000000"/>
                <w:sz w:val="18"/>
                <w:szCs w:val="18"/>
              </w:rPr>
              <w:t xml:space="preserve"> </w:t>
            </w:r>
            <w:r>
              <w:rPr>
                <w:color w:val="000000"/>
                <w:sz w:val="18"/>
                <w:szCs w:val="18"/>
              </w:rPr>
              <w:sym w:font="Wingdings" w:char="F0FE"/>
            </w:r>
            <w:r>
              <w:rPr>
                <w:rFonts w:hint="eastAsia"/>
                <w:color w:val="000000"/>
                <w:sz w:val="18"/>
                <w:szCs w:val="18"/>
              </w:rPr>
              <w:t>政务新媒体</w:t>
            </w:r>
          </w:p>
          <w:p>
            <w:pPr>
              <w:pStyle w:val="2"/>
              <w:widowControl w:val="0"/>
              <w:spacing w:before="0" w:beforeAutospacing="0" w:after="0" w:afterAutospacing="0" w:line="240" w:lineRule="exact"/>
              <w:jc w:val="both"/>
              <w:rPr>
                <w:rFonts w:hint="eastAsia"/>
                <w:color w:val="000000"/>
                <w:sz w:val="18"/>
                <w:szCs w:val="18"/>
              </w:rPr>
            </w:pPr>
            <w:r>
              <w:rPr>
                <w:color w:val="000000"/>
                <w:sz w:val="18"/>
                <w:szCs w:val="18"/>
              </w:rPr>
              <w:t>□广播电视</w:t>
            </w:r>
            <w:r>
              <w:rPr>
                <w:rFonts w:hint="eastAsia"/>
                <w:color w:val="000000"/>
                <w:sz w:val="18"/>
                <w:szCs w:val="18"/>
              </w:rPr>
              <w:t xml:space="preserve">  </w:t>
            </w:r>
            <w:r>
              <w:rPr>
                <w:color w:val="000000"/>
                <w:sz w:val="18"/>
                <w:szCs w:val="18"/>
              </w:rPr>
              <w:t>□纸质媒体</w:t>
            </w:r>
          </w:p>
          <w:p>
            <w:pPr>
              <w:pStyle w:val="2"/>
              <w:widowControl w:val="0"/>
              <w:spacing w:before="0" w:beforeAutospacing="0" w:after="0" w:afterAutospacing="0" w:line="240" w:lineRule="exact"/>
              <w:jc w:val="both"/>
              <w:rPr>
                <w:rFonts w:hint="eastAsia"/>
                <w:sz w:val="18"/>
                <w:szCs w:val="18"/>
              </w:rPr>
            </w:pPr>
            <w:r>
              <w:rPr>
                <w:color w:val="000000"/>
                <w:sz w:val="18"/>
                <w:szCs w:val="18"/>
              </w:rPr>
              <w:t>□政务</w:t>
            </w:r>
            <w:r>
              <w:rPr>
                <w:rFonts w:hint="eastAsia"/>
                <w:color w:val="000000"/>
                <w:sz w:val="18"/>
                <w:szCs w:val="18"/>
              </w:rPr>
              <w:t xml:space="preserve">大厅  </w:t>
            </w:r>
            <w:r>
              <w:rPr>
                <w:color w:val="000000"/>
                <w:sz w:val="18"/>
                <w:szCs w:val="18"/>
              </w:rPr>
              <w:t>□公开查阅点</w:t>
            </w:r>
          </w:p>
          <w:p>
            <w:pPr>
              <w:pStyle w:val="2"/>
              <w:widowControl w:val="0"/>
              <w:spacing w:before="0" w:beforeAutospacing="0" w:after="0" w:afterAutospacing="0" w:line="240" w:lineRule="exact"/>
              <w:jc w:val="both"/>
              <w:rPr>
                <w:rFonts w:hint="eastAsia" w:eastAsia="宋体"/>
                <w:sz w:val="18"/>
                <w:szCs w:val="18"/>
                <w:lang w:eastAsia="zh-CN"/>
              </w:rPr>
            </w:pPr>
            <w:r>
              <w:rPr>
                <w:color w:val="000000"/>
                <w:sz w:val="18"/>
                <w:szCs w:val="18"/>
              </w:rPr>
              <w:sym w:font="Wingdings" w:char="F0FE"/>
            </w:r>
            <w:r>
              <w:rPr>
                <w:color w:val="000000"/>
                <w:sz w:val="18"/>
                <w:szCs w:val="18"/>
              </w:rPr>
              <w:t>便民服务</w:t>
            </w:r>
            <w:r>
              <w:rPr>
                <w:rFonts w:hint="eastAsia"/>
                <w:color w:val="000000"/>
                <w:sz w:val="18"/>
                <w:szCs w:val="18"/>
                <w:lang w:eastAsia="zh-CN"/>
              </w:rPr>
              <w:t>中心</w:t>
            </w:r>
          </w:p>
          <w:p>
            <w:pPr>
              <w:pStyle w:val="2"/>
              <w:widowControl w:val="0"/>
              <w:spacing w:before="0" w:beforeAutospacing="0" w:after="0" w:afterAutospacing="0" w:line="240" w:lineRule="exact"/>
              <w:jc w:val="both"/>
              <w:rPr>
                <w:rFonts w:hint="eastAsia"/>
                <w:color w:val="000000"/>
                <w:sz w:val="18"/>
                <w:szCs w:val="18"/>
              </w:rPr>
            </w:pPr>
            <w:r>
              <w:rPr>
                <w:color w:val="000000"/>
                <w:sz w:val="18"/>
                <w:szCs w:val="18"/>
              </w:rPr>
              <w:sym w:font="Wingdings" w:char="F0FE"/>
            </w:r>
            <w:r>
              <w:rPr>
                <w:color w:val="000000"/>
                <w:sz w:val="18"/>
                <w:szCs w:val="18"/>
              </w:rPr>
              <w:t>单位公示栏（电子屏）</w:t>
            </w:r>
          </w:p>
          <w:p>
            <w:pPr>
              <w:pStyle w:val="2"/>
              <w:widowControl w:val="0"/>
              <w:spacing w:before="0" w:beforeAutospacing="0" w:after="0" w:afterAutospacing="0" w:line="240" w:lineRule="exact"/>
              <w:jc w:val="both"/>
              <w:rPr>
                <w:rFonts w:ascii="宋体" w:hAnsi="宋体" w:eastAsia="宋体" w:cs="宋体"/>
                <w:kern w:val="0"/>
                <w:sz w:val="18"/>
                <w:szCs w:val="18"/>
                <w:lang w:val="en-US" w:eastAsia="zh-CN" w:bidi="ar-SA"/>
              </w:rPr>
            </w:pPr>
            <w:r>
              <w:rPr>
                <w:color w:val="000000"/>
                <w:sz w:val="18"/>
                <w:szCs w:val="18"/>
              </w:rPr>
              <w:t>□精准推送   □其他</w:t>
            </w:r>
          </w:p>
        </w:tc>
        <w:tc>
          <w:tcPr>
            <w:tcW w:w="870"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870" w:type="dxa"/>
            <w:tcBorders>
              <w:top w:val="single" w:color="auto" w:sz="6" w:space="0"/>
              <w:left w:val="nil"/>
              <w:bottom w:val="single" w:color="auto" w:sz="6" w:space="0"/>
              <w:right w:val="single" w:color="auto" w:sz="6" w:space="0"/>
            </w:tcBorders>
            <w:vAlign w:val="center"/>
          </w:tcPr>
          <w:p>
            <w:pPr>
              <w:jc w:val="cente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730"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698"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　</w:t>
            </w:r>
          </w:p>
        </w:tc>
        <w:tc>
          <w:tcPr>
            <w:tcW w:w="338"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c>
          <w:tcPr>
            <w:tcW w:w="351"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　</w:t>
            </w:r>
          </w:p>
        </w:tc>
        <w:tc>
          <w:tcPr>
            <w:tcW w:w="352"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　</w:t>
            </w:r>
          </w:p>
        </w:tc>
        <w:tc>
          <w:tcPr>
            <w:tcW w:w="351" w:type="dxa"/>
            <w:tcBorders>
              <w:top w:val="single" w:color="auto" w:sz="6" w:space="0"/>
              <w:left w:val="nil"/>
              <w:bottom w:val="single" w:color="auto" w:sz="6" w:space="0"/>
              <w:right w:val="single" w:color="auto" w:sz="6"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w:t>
            </w:r>
          </w:p>
        </w:tc>
        <w:tc>
          <w:tcPr>
            <w:tcW w:w="358" w:type="dxa"/>
            <w:tcBorders>
              <w:top w:val="single" w:color="auto" w:sz="6" w:space="0"/>
              <w:left w:val="nil"/>
              <w:bottom w:val="single" w:color="auto" w:sz="6" w:space="0"/>
              <w:right w:val="single" w:color="auto" w:sz="6" w:space="0"/>
            </w:tcBorders>
            <w:vAlign w:val="center"/>
          </w:tcPr>
          <w:p>
            <w:pPr>
              <w:jc w:val="center"/>
              <w:rPr>
                <w:rFonts w:ascii="宋体" w:hAnsi="宋体" w:eastAsia="宋体" w:cs="宋体"/>
                <w:color w:val="000000"/>
                <w:kern w:val="2"/>
                <w:sz w:val="18"/>
                <w:szCs w:val="18"/>
                <w:lang w:val="en-US" w:eastAsia="zh-CN" w:bidi="ar-SA"/>
              </w:rPr>
            </w:pPr>
            <w:r>
              <w:rPr>
                <w:rFonts w:hint="eastAsia" w:ascii="宋体" w:hAnsi="宋体"/>
                <w:color w:val="000000"/>
                <w:sz w:val="18"/>
                <w:szCs w:val="18"/>
              </w:rPr>
              <w:t>　</w:t>
            </w:r>
          </w:p>
        </w:tc>
        <w:tc>
          <w:tcPr>
            <w:tcW w:w="567" w:type="dxa"/>
            <w:tcBorders>
              <w:top w:val="single" w:color="auto" w:sz="6" w:space="0"/>
              <w:left w:val="nil"/>
              <w:bottom w:val="single" w:color="auto" w:sz="6" w:space="0"/>
              <w:right w:val="single" w:color="auto" w:sz="6" w:space="0"/>
            </w:tcBorders>
            <w:tcMar>
              <w:top w:w="60" w:type="dxa"/>
              <w:left w:w="60" w:type="dxa"/>
              <w:bottom w:w="60" w:type="dxa"/>
              <w:right w:w="60" w:type="dxa"/>
            </w:tcMar>
            <w:vAlign w:val="center"/>
          </w:tcPr>
          <w:p>
            <w:pPr>
              <w:rPr>
                <w:rFonts w:ascii="宋体" w:hAnsi="宋体" w:eastAsia="宋体" w:cs="Times New Roman"/>
                <w:color w:val="000000"/>
                <w:kern w:val="2"/>
                <w:sz w:val="18"/>
                <w:szCs w:val="18"/>
                <w:lang w:val="en-US" w:eastAsia="zh-CN" w:bidi="ar-SA"/>
              </w:rPr>
            </w:pPr>
            <w:r>
              <w:rPr>
                <w:rFonts w:ascii="宋体" w:hAnsi="宋体"/>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Times New Roman"/>
    <w:panose1 w:val="00000000000000000000"/>
    <w:charset w:val="00"/>
    <w:family w:val="auto"/>
    <w:pitch w:val="default"/>
    <w:sig w:usb0="00000000" w:usb1="00000000" w:usb2="00000000" w:usb3="00000000" w:csb0="00040001" w:csb1="00000000"/>
  </w:font>
  <w:font w:name="方正仿宋_GBK">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71DED"/>
    <w:rsid w:val="061F40FE"/>
    <w:rsid w:val="1F071DED"/>
    <w:rsid w:val="28190DC2"/>
    <w:rsid w:val="362D195E"/>
    <w:rsid w:val="409368A4"/>
    <w:rsid w:val="428745BB"/>
    <w:rsid w:val="43C26AFF"/>
    <w:rsid w:val="56CD45B6"/>
    <w:rsid w:val="65F62353"/>
    <w:rsid w:val="7A044A08"/>
    <w:rsid w:val="7A223CE4"/>
    <w:rsid w:val="7C3C2E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2020-12-02T06:58:00Z</dcterms:created>
  <dc:creator>Administrator</dc:creator>
  <cp:lastModifiedBy>Administrator</cp:lastModifiedBy>
  <dcterms:modified xsi:type="dcterms:W3CDTF">2020-12-08T08:36:53Z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