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6275" w:type="dxa"/>
        <w:tblInd w:w="0" w:type="dxa"/>
        <w:shd w:val="clear" w:color="auto" w:fill="auto"/>
        <w:tblLayout w:type="autofit"/>
        <w:tblCellMar>
          <w:top w:w="0" w:type="dxa"/>
          <w:left w:w="0" w:type="dxa"/>
          <w:bottom w:w="0" w:type="dxa"/>
          <w:right w:w="0" w:type="dxa"/>
        </w:tblCellMar>
      </w:tblPr>
      <w:tblGrid>
        <w:gridCol w:w="591"/>
        <w:gridCol w:w="1205"/>
        <w:gridCol w:w="1698"/>
        <w:gridCol w:w="1696"/>
        <w:gridCol w:w="1010"/>
        <w:gridCol w:w="925"/>
        <w:gridCol w:w="818"/>
        <w:gridCol w:w="809"/>
        <w:gridCol w:w="868"/>
        <w:gridCol w:w="1145"/>
        <w:gridCol w:w="1145"/>
        <w:gridCol w:w="742"/>
        <w:gridCol w:w="591"/>
        <w:gridCol w:w="673"/>
        <w:gridCol w:w="591"/>
        <w:gridCol w:w="591"/>
        <w:gridCol w:w="591"/>
        <w:gridCol w:w="593"/>
      </w:tblGrid>
      <w:tr>
        <w:tblPrEx>
          <w:shd w:val="clear" w:color="auto" w:fill="auto"/>
        </w:tblPrEx>
        <w:trPr>
          <w:trHeight w:val="1160" w:hRule="atLeast"/>
        </w:trPr>
        <w:tc>
          <w:tcPr>
            <w:tcW w:w="16282" w:type="dxa"/>
            <w:gridSpan w:val="1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outlineLvl w:val="2"/>
              <w:rPr>
                <w:rFonts w:hint="eastAsia" w:ascii="宋体" w:hAnsi="宋体" w:eastAsia="宋体" w:cs="宋体"/>
                <w:i w:val="0"/>
                <w:color w:val="000000"/>
                <w:sz w:val="56"/>
                <w:szCs w:val="56"/>
                <w:u w:val="none"/>
              </w:rPr>
            </w:pPr>
            <w:r>
              <w:rPr>
                <w:rFonts w:hint="eastAsia" w:ascii="宋体" w:hAnsi="宋体" w:eastAsia="宋体" w:cs="宋体"/>
                <w:i w:val="0"/>
                <w:color w:val="000000"/>
                <w:kern w:val="0"/>
                <w:sz w:val="56"/>
                <w:szCs w:val="56"/>
                <w:u w:val="none"/>
                <w:lang w:val="en-US" w:eastAsia="zh-CN" w:bidi="ar"/>
              </w:rPr>
              <w:t xml:space="preserve">            闻喜县审计局政务公开事项标准目录</w:t>
            </w:r>
          </w:p>
        </w:tc>
      </w:tr>
      <w:tr>
        <w:tblPrEx>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公开内容（要素）</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公开时限</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公开主体</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所属“五公开”类型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二级目录</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特定对象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机构信息</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基本信息</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机构名称、办公地址、办公电话、传真、通信地址、邮政编码</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机构信息</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法定职责</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4"/>
                <w:lang w:val="en-US" w:eastAsia="zh-CN" w:bidi="ar"/>
              </w:rPr>
              <w:t>依据《闻喜县审计局职能配置、内设机构和人员编制规定》（闻办字</w:t>
            </w:r>
            <w:r>
              <w:rPr>
                <w:rStyle w:val="5"/>
                <w:rFonts w:hAnsi="宋体"/>
                <w:lang w:val="en-US" w:eastAsia="zh-CN" w:bidi="ar"/>
              </w:rPr>
              <w:t>〔</w:t>
            </w:r>
            <w:r>
              <w:rPr>
                <w:rStyle w:val="6"/>
                <w:lang w:val="en-US" w:eastAsia="zh-CN" w:bidi="ar"/>
              </w:rPr>
              <w:t>2019</w:t>
            </w:r>
            <w:r>
              <w:rPr>
                <w:rStyle w:val="5"/>
                <w:rFonts w:hAnsi="宋体"/>
                <w:lang w:val="en-US" w:eastAsia="zh-CN" w:bidi="ar"/>
              </w:rPr>
              <w:t>〕</w:t>
            </w:r>
            <w:r>
              <w:rPr>
                <w:rStyle w:val="6"/>
                <w:lang w:val="en-US" w:eastAsia="zh-CN" w:bidi="ar"/>
              </w:rPr>
              <w:t>36号）确定的本单位法定职责</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机构信息</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领导简介</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领导姓名、工作职务、工作分工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机构信息</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内设机构</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内设机构名称、主要职责、联系方式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法律、法规</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履行本部门职能职责涉及的主要法律法规</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部门和地方</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政府规章</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上级或本部门印发的规范性文件或其他政策文件及有关审计文件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规划计划</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审计工作计划</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年度全县审计项目计划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财务信息</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部门预算、决算</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财政预算、决算信息、三公经费、财政专项资金管理和使用情况以及其他财政信息</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行政处罚</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对拒绝、拖延提供与审计事项有关的资料，或者提供的资料不真实、不完整，或者拒绝、阻碍检查行为的行政处罚</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行政处罚</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对违反国家规定的财政财务收支行为，法律规定已明确审计机关具有执法主体资格的，在审计法定职权范围内依法处罚</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行政强制</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制止被审计单位违法对有关资料和违反国家规定取得的资产采取的转移、隐匿等行为，封存被审计单位有关资料和违反国家规定取得的资产</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bookmarkStart w:id="0" w:name="_GoBack"/>
            <w:bookmarkEnd w:id="0"/>
            <w:r>
              <w:rPr>
                <w:rFonts w:hint="eastAsia" w:ascii="宋体" w:hAnsi="宋体" w:eastAsia="宋体" w:cs="宋体"/>
                <w:i w:val="0"/>
                <w:color w:val="000000"/>
                <w:kern w:val="0"/>
                <w:sz w:val="22"/>
                <w:szCs w:val="22"/>
                <w:u w:val="none"/>
                <w:lang w:val="en-US" w:eastAsia="zh-CN" w:bidi="ar"/>
              </w:rPr>
              <w:t>行政强制</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通知财政部门和有关主管部门暂停拨付与违反国家规定的财政收支、财务收支行为直接有关的款项，已经拨付的，暂停使用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指导和监督内部审计工作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其他行政权力</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核查社会审计机构审计报告</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要求报送审计资料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行政权力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其他行政权力</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审计处理权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重点信息</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审计结果公告</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年度县级预算执行和其他财政收支的审计工作报告、审计整改报告及单项审计结果公告等</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人事信息</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本单位人事任免信息</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本部门人事任免、任前公告、考录招聘信息</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年度报告</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政府信息公开年度报告</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各年度政府信息公开年报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信息公开</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信息公开栏目</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1.信息公开指南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2.信息公开目录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3.信息公开年报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4.信息公开申请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5.非公开信息目录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7.信息公开制度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8.依申请公开统计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办事指南</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1.服务承诺书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2.行政权力运行流程图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3.办事指南</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信息产生或变更之日起20个工作日内公开（相关法律法规另有规定的，从其规定）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闻喜县审计局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522B3"/>
    <w:rsid w:val="1BC522B3"/>
    <w:rsid w:val="4EF9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18"/>
      <w:szCs w:val="18"/>
      <w:u w:val="none"/>
    </w:rPr>
  </w:style>
  <w:style w:type="character" w:customStyle="1" w:styleId="5">
    <w:name w:val="font11"/>
    <w:basedOn w:val="3"/>
    <w:qFormat/>
    <w:uiPriority w:val="0"/>
    <w:rPr>
      <w:rFonts w:ascii="仿宋_GB2312" w:eastAsia="仿宋_GB2312" w:cs="仿宋_GB2312"/>
      <w:color w:val="000000"/>
      <w:sz w:val="22"/>
      <w:szCs w:val="22"/>
      <w:u w:val="none"/>
    </w:rPr>
  </w:style>
  <w:style w:type="character" w:customStyle="1" w:styleId="6">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2020-12-03T01:41:00Z</dcterms:created>
  <dc:creator>LX</dc:creator>
  <cp:lastModifiedBy>Administrator</cp:lastModifiedBy>
  <dcterms:modified xsi:type="dcterms:W3CDTF">2020-12-03T08:04:53Z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